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0" w:rsidRDefault="00774C6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774C60" w:rsidRDefault="007C4D7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4C60">
        <w:trPr>
          <w:trHeight w:val="7992"/>
        </w:trPr>
        <w:tc>
          <w:tcPr>
            <w:tcW w:w="8522" w:type="dxa"/>
          </w:tcPr>
          <w:p w:rsidR="00774C60" w:rsidRDefault="007C4D7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Style w:val="a3"/>
              <w:tblW w:w="7959" w:type="dxa"/>
              <w:tblInd w:w="108" w:type="dxa"/>
              <w:tblLook w:val="04A0" w:firstRow="1" w:lastRow="0" w:firstColumn="1" w:lastColumn="0" w:noHBand="0" w:noVBand="1"/>
            </w:tblPr>
            <w:tblGrid>
              <w:gridCol w:w="502"/>
              <w:gridCol w:w="622"/>
              <w:gridCol w:w="954"/>
              <w:gridCol w:w="5379"/>
              <w:gridCol w:w="502"/>
            </w:tblGrid>
            <w:tr w:rsidR="00774C60">
              <w:trPr>
                <w:trHeight w:val="336"/>
              </w:trPr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62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型号</w:t>
                  </w:r>
                </w:p>
              </w:tc>
              <w:tc>
                <w:tcPr>
                  <w:tcW w:w="5379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参数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数量</w:t>
                  </w:r>
                </w:p>
              </w:tc>
            </w:tr>
            <w:tr w:rsidR="00774C60">
              <w:trPr>
                <w:trHeight w:val="4457"/>
              </w:trPr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多媒体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投影仪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爱普生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索尼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松下</w:t>
                  </w:r>
                </w:p>
              </w:tc>
              <w:tc>
                <w:tcPr>
                  <w:tcW w:w="5379" w:type="dxa"/>
                </w:tcPr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★投影系统：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RGB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光阀式液晶投影系统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★标准分辨率：≥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1920*1200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★白色亮度：≥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4000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流明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(ISO2118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国际标准亮度模式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)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★色彩亮度：≥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4000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流明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(ISO2118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国际标准亮度模式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)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★对比度：≥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2500000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变焦：≥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1.35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倍数字变焦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成像系统：≥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67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英寸液晶板（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含微透镜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）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光源使用寿命：≥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20000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小时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★重量：≥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11.2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KG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★内置扬声器：≥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16W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即关即拔功能（不需冷却时间），≤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秒快速开机，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秒关机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★★★内置互动功能，同时支持两人同步互动，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点手指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+2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点互动笔灵敏精准互动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★★★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标配手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互动模块，支持手指触控功能，可在投影屏幕上随意拖动画面，放大缩小，书写批准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cs="Helvetica" w:hint="eastAsia"/>
                      <w:sz w:val="18"/>
                      <w:szCs w:val="18"/>
                      <w:shd w:val="clear" w:color="auto" w:fill="FFFFFF"/>
                    </w:rPr>
                    <w:t>免费附赠</w:t>
                  </w:r>
                  <w:r>
                    <w:rPr>
                      <w:rFonts w:ascii="宋体" w:hAnsi="宋体" w:cs="Helvetica"/>
                      <w:sz w:val="18"/>
                      <w:szCs w:val="18"/>
                      <w:shd w:val="clear" w:color="auto" w:fill="FFFFFF"/>
                    </w:rPr>
                    <w:t xml:space="preserve"> SMART Notebook®*6</w:t>
                  </w:r>
                  <w:r>
                    <w:rPr>
                      <w:rFonts w:ascii="宋体" w:hAnsi="宋体" w:cs="Helvetica" w:hint="eastAsia"/>
                      <w:sz w:val="18"/>
                      <w:szCs w:val="18"/>
                      <w:shd w:val="clear" w:color="auto" w:fill="FFFFFF"/>
                    </w:rPr>
                    <w:t>软件激活码，软件资源库中丰富的课件让教师备课更容易，课件内容更吸引学生注意力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。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lastRenderedPageBreak/>
                    <w:t>★★★支持双屏拼接超宽屏互动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支持水平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垂直梯形矫正以及四角调节功能，方便快速调整投影图像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★★★机器距离屏幕的距离≤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60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厘米可投影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寸（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16:10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）显示画面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接口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: USB Type A*1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Type B*1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★★★数字音视频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HDMI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路，其中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路支持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MHL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功能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★支持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U 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盘或者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网线实现快速复制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OSD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的设置信息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MIC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接口，连接麦克风可实现声音的实时外放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★通过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 MHL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连接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宋体" w:hAnsi="宋体"/>
                      <w:sz w:val="18"/>
                      <w:szCs w:val="18"/>
                    </w:rPr>
                    <w:t>Andriod</w:t>
                  </w:r>
                  <w:proofErr w:type="spellEnd"/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系统的智能手机和平板电脑，轻松实现高清视频的传输。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★支持远程网络监视控制功能（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RJ45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网络接口），支持扩展原厂无线网卡，支持带声音的有线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无线投影及多屏幕显示等功能，支持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802.11n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连接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支持</w:t>
                  </w:r>
                  <w:proofErr w:type="spellStart"/>
                  <w:r>
                    <w:rPr>
                      <w:rFonts w:ascii="宋体" w:hAnsi="宋体"/>
                      <w:sz w:val="18"/>
                      <w:szCs w:val="18"/>
                    </w:rPr>
                    <w:t>iphone</w:t>
                  </w:r>
                  <w:proofErr w:type="spellEnd"/>
                  <w:r>
                    <w:rPr>
                      <w:rFonts w:ascii="宋体" w:hAnsi="宋体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宋体" w:hAnsi="宋体"/>
                      <w:sz w:val="18"/>
                      <w:szCs w:val="18"/>
                    </w:rPr>
                    <w:t>ipad</w:t>
                  </w:r>
                  <w:proofErr w:type="spellEnd"/>
                  <w:r>
                    <w:rPr>
                      <w:rFonts w:ascii="宋体" w:hAnsi="宋体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ascii="宋体" w:hAnsi="宋体"/>
                      <w:sz w:val="18"/>
                      <w:szCs w:val="18"/>
                    </w:rPr>
                    <w:t>ipod</w:t>
                  </w:r>
                  <w:proofErr w:type="spellEnd"/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 touch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以及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Android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平台设备的</w:t>
                  </w:r>
                  <w:proofErr w:type="spellStart"/>
                  <w:r>
                    <w:rPr>
                      <w:rFonts w:ascii="宋体" w:hAnsi="宋体"/>
                      <w:sz w:val="18"/>
                      <w:szCs w:val="18"/>
                    </w:rPr>
                    <w:t>wifi</w:t>
                  </w:r>
                  <w:proofErr w:type="spell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投影及简单批注功能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USB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线投影连接方式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ab/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可使用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USB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线替代传统数据线的连接方式，不需要切换信号。即可传输声音和图像及支持互动功能。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★投影机遥控器支持翻页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笔功能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和无线鼠标功能。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防尘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: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镜头和接口面板都要具有防尘设计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支持桌面水平放置投影，桌面垂直放置投影（不会削减灯泡寿命）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lastRenderedPageBreak/>
                    <w:t>★投影机包含原厂标配投影吊架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★★通过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3C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、节能、环保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通过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ISO-9001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质量体系认证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IS014001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环境管理认证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★★★原厂整机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年质保。</w:t>
                  </w:r>
                </w:p>
                <w:p w:rsidR="00774C60" w:rsidRDefault="007C4D7B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需提供由厂家印制的彩页介绍（非代理商）以及提供产品技术响应表（加盖生产厂家公章原件有效，作为产品验收依据），提供中国电子研究所对投影机亮度、对比度的检测报告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lastRenderedPageBreak/>
                    <w:t>2</w:t>
                  </w:r>
                </w:p>
              </w:tc>
            </w:tr>
            <w:tr w:rsidR="00774C60">
              <w:trPr>
                <w:trHeight w:val="995"/>
              </w:trPr>
              <w:tc>
                <w:tcPr>
                  <w:tcW w:w="502" w:type="dxa"/>
                  <w:vAlign w:val="center"/>
                </w:tcPr>
                <w:p w:rsidR="00774C60" w:rsidRDefault="00212669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:rsidR="00774C60" w:rsidRDefault="00774C60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讲台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欧睿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高兴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跃胜</w:t>
                  </w:r>
                </w:p>
              </w:tc>
              <w:tc>
                <w:tcPr>
                  <w:tcW w:w="5379" w:type="dxa"/>
                </w:tcPr>
                <w:p w:rsidR="00774C60" w:rsidRDefault="007C4D7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高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1.5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米定制胡桃木演讲台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74C60">
              <w:trPr>
                <w:trHeight w:val="500"/>
              </w:trPr>
              <w:tc>
                <w:tcPr>
                  <w:tcW w:w="502" w:type="dxa"/>
                  <w:vAlign w:val="center"/>
                </w:tcPr>
                <w:p w:rsidR="00774C60" w:rsidRDefault="00212669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62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美江</w:t>
                  </w:r>
                </w:p>
                <w:p w:rsidR="00774C60" w:rsidRDefault="00774C60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79" w:type="dxa"/>
                </w:tcPr>
                <w:p w:rsidR="00774C60" w:rsidRDefault="007C4D7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根据现场尺寸定制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1.2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米乘以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米，短焦投影专用白板，显示清晰，书写手感好。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74C60">
              <w:trPr>
                <w:trHeight w:val="665"/>
              </w:trPr>
              <w:tc>
                <w:tcPr>
                  <w:tcW w:w="502" w:type="dxa"/>
                  <w:vAlign w:val="center"/>
                </w:tcPr>
                <w:p w:rsidR="00774C60" w:rsidRDefault="00212669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功放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音箱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台湾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卡博</w:t>
                  </w:r>
                </w:p>
              </w:tc>
              <w:tc>
                <w:tcPr>
                  <w:tcW w:w="5379" w:type="dxa"/>
                </w:tcPr>
                <w:p w:rsidR="00774C60" w:rsidRDefault="007C4D7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450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瓦功放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</w:p>
                <w:p w:rsidR="00774C60" w:rsidRDefault="007C4D7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寸音箱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74C60">
              <w:trPr>
                <w:trHeight w:val="336"/>
              </w:trPr>
              <w:tc>
                <w:tcPr>
                  <w:tcW w:w="502" w:type="dxa"/>
                  <w:vAlign w:val="center"/>
                </w:tcPr>
                <w:p w:rsidR="00774C60" w:rsidRDefault="00212669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机柜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华新</w:t>
                  </w:r>
                </w:p>
              </w:tc>
              <w:tc>
                <w:tcPr>
                  <w:tcW w:w="5379" w:type="dxa"/>
                </w:tcPr>
                <w:p w:rsidR="00774C60" w:rsidRDefault="007C4D7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1.2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米机柜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74C60">
              <w:trPr>
                <w:trHeight w:val="500"/>
              </w:trPr>
              <w:tc>
                <w:tcPr>
                  <w:tcW w:w="502" w:type="dxa"/>
                  <w:vAlign w:val="center"/>
                </w:tcPr>
                <w:p w:rsidR="00774C60" w:rsidRDefault="00212669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无线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话筒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台湾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卡博</w:t>
                  </w:r>
                </w:p>
              </w:tc>
              <w:tc>
                <w:tcPr>
                  <w:tcW w:w="5379" w:type="dxa"/>
                </w:tcPr>
                <w:p w:rsidR="00774C60" w:rsidRDefault="007C4D7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拖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手持话筒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74C60">
              <w:trPr>
                <w:trHeight w:val="671"/>
              </w:trPr>
              <w:tc>
                <w:tcPr>
                  <w:tcW w:w="502" w:type="dxa"/>
                  <w:vAlign w:val="center"/>
                </w:tcPr>
                <w:p w:rsidR="00774C60" w:rsidRDefault="00212669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2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施工</w:t>
                  </w:r>
                </w:p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辅材</w:t>
                  </w:r>
                </w:p>
              </w:tc>
              <w:tc>
                <w:tcPr>
                  <w:tcW w:w="954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秋叶原</w:t>
                  </w:r>
                </w:p>
                <w:p w:rsidR="00774C60" w:rsidRDefault="00774C60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79" w:type="dxa"/>
                </w:tcPr>
                <w:p w:rsidR="00774C60" w:rsidRDefault="007C4D7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米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VGA,20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米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USB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米电源线，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PVC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线槽，不锈钢线槽等其他安装辅材</w:t>
                  </w:r>
                </w:p>
              </w:tc>
              <w:tc>
                <w:tcPr>
                  <w:tcW w:w="502" w:type="dxa"/>
                  <w:vAlign w:val="center"/>
                </w:tcPr>
                <w:p w:rsidR="00774C60" w:rsidRDefault="007C4D7B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774C60" w:rsidRDefault="00774C6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74C60" w:rsidRDefault="007C4D7B" w:rsidP="007C4D7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774C60" w:rsidRDefault="007C4D7B" w:rsidP="007C4D7B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774C60" w:rsidRDefault="007C4D7B" w:rsidP="00774C6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77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53B0"/>
    <w:multiLevelType w:val="multilevel"/>
    <w:tmpl w:val="206753B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cs="Times New Roman" w:hint="eastAsia"/>
      </w:rPr>
    </w:lvl>
    <w:lvl w:ilvl="2">
      <w:start w:val="2"/>
      <w:numFmt w:val="lowerLetter"/>
      <w:lvlText w:val="%3、"/>
      <w:lvlJc w:val="left"/>
      <w:pPr>
        <w:ind w:left="12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7372"/>
    <w:rsid w:val="0011746F"/>
    <w:rsid w:val="00172A27"/>
    <w:rsid w:val="00212669"/>
    <w:rsid w:val="003372BD"/>
    <w:rsid w:val="00636259"/>
    <w:rsid w:val="00774C60"/>
    <w:rsid w:val="007C0E4C"/>
    <w:rsid w:val="007C4D7B"/>
    <w:rsid w:val="0085369C"/>
    <w:rsid w:val="009917FC"/>
    <w:rsid w:val="00F06A8F"/>
    <w:rsid w:val="5DAF16D5"/>
    <w:rsid w:val="6EF1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193</Words>
  <Characters>1103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2019-12-05T10:22:00Z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