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14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25"/>
        <w:gridCol w:w="1350"/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采购数量</w:t>
            </w:r>
          </w:p>
        </w:tc>
        <w:tc>
          <w:tcPr>
            <w:tcW w:w="96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参数要求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针灸头部训练模型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669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1.模拟成年男性的上半身，该人身高为172cm，体重63kg，头围55cm；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2.具有与人体上半身相同的皮肤手感；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3.模型上标记有20个常用穴位，如百会，四神聪，太阳，风池，头维，率谷，翳风，颊车，下关，地仓，四白，睛明，攒竹，鱼腰，耳门，听宫，听会，水沟，头临泣，印堂；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4.可以进行多种针刺方法的训练，针刺手感真实；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5.头部上的穴位标记常见光下不可见，需要使用配备的专用光源的照射下方可显现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针灸臀部训练模型</w:t>
            </w:r>
          </w:p>
        </w:tc>
        <w:tc>
          <w:tcPr>
            <w:tcW w:w="1350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669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1.模拟成年男性的下半身，该人身高172cm，体重63kg，臀围98cm；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2.具有与人体下半身相同的皮肤手感；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3.模型上标记有20个常用穴位，如环跳、长强、会阳、神阙、关元、气海、天枢、归来、大横、承扶、居髎、维道、五枢、带脉、腰阳关、大肠俞、小肠俞、膀胱俞、秩边、次髎；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4.可以进行多种针刺方法的训练，针刺手感真实；</w:t>
            </w:r>
          </w:p>
          <w:p>
            <w:pPr>
              <w:pStyle w:val="7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contextualSpacing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5.臀部上的穴位标记常见光下不可见，需要使用配备的专用光源的照射下方可显现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针刺训练手臂模型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966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1.模拟成人手臂外观，解剖结构准确，手臂外皮采用高仿真性材质制作，有皮肤纹理，触之柔软，手感真实；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2.解剖结构包括尺骨、桡骨、尺骨鹰嘴等；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3.可进行40个上肢常用穴（如合谷、曲池、列缺及上肢五腧穴等穴位）的定位、针刺示教、练习及考核；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4.可以进行多种针刺方法的训练，针刺手感真实；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1"/>
                <w:szCs w:val="21"/>
              </w:rPr>
              <w:t>5.手臂上的穴位标记常见光下不可见，需要使用配备的专用光源的照射下方可显现。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针刺训练模块</w:t>
            </w:r>
          </w:p>
        </w:tc>
        <w:tc>
          <w:tcPr>
            <w:tcW w:w="135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8台</w:t>
            </w:r>
          </w:p>
        </w:tc>
        <w:tc>
          <w:tcPr>
            <w:tcW w:w="9669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解剖层次清晰，有皮肤、皮下组织、肌肉及骨组织结构；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外观设计逼真，有皮肤纹理，操作面模拟人体体表弧度，外形、柔韧度及操作手感具有传统练针垫如纸垫、棉花垫等所没有的临床真实感；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可进行多种进针法如单手进针、双手进针、指切进针、夹持进针的示教和练习，传统练针垫不能进行训练和演示的手法如舒张进针、提捏进针及针管进针等，都可以在该仿真模块上实现，而且进针有真实的进针突破感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可进行多种行针法的示教和练习，如提插法、捻转法、各种辅助手法（循法、弹法、刮法、摇法等）及补泻手法的练习，行针时针下有明显的针下得气沉紧感；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结构简单，便于卸装，有轻便稳固的高分子材料底座，保持操作的稳定性，便于示教和练习；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产品尺寸：170*100*50mm</w:t>
            </w:r>
          </w:p>
          <w:p>
            <w:pPr>
              <w:pStyle w:val="2"/>
              <w:numPr>
                <w:ilvl w:val="0"/>
                <w:numId w:val="1"/>
              </w:numPr>
              <w:wordWrap w:val="0"/>
              <w:bidi w:val="0"/>
              <w:spacing w:before="0" w:after="160" w:line="240" w:lineRule="auto"/>
              <w:ind w:left="360" w:right="0" w:hanging="36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产品重量：0.3kg</w:t>
            </w:r>
          </w:p>
        </w:tc>
      </w:tr>
    </w:tbl>
    <w:p>
      <w:pPr>
        <w:rPr>
          <w:rFonts w:hint="eastAsia"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lvlText w:val="%1."/>
      <w:lvlJc w:val="left"/>
      <w:pPr>
        <w:ind w:left="360" w:hanging="360"/>
        <w:jc w:val="both"/>
      </w:pPr>
      <w:rPr>
        <w:rFonts w:ascii="Calibri" w:hAnsi="Calibri" w:eastAsia="宋体"/>
        <w:w w:val="100"/>
        <w:sz w:val="21"/>
        <w:szCs w:val="21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  <w:rPr>
        <w:rFonts w:ascii="宋体" w:hAnsi="宋体" w:eastAsia="宋体"/>
        <w:w w:val="100"/>
        <w:sz w:val="20"/>
        <w:szCs w:val="20"/>
      </w:r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  <w:rPr>
        <w:rFonts w:ascii="宋体" w:hAnsi="宋体" w:eastAsia="宋体"/>
        <w:w w:val="1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81333"/>
    <w:rsid w:val="16CE27E6"/>
    <w:rsid w:val="2B196039"/>
    <w:rsid w:val="302F16A1"/>
    <w:rsid w:val="32C06EFE"/>
    <w:rsid w:val="407D4955"/>
    <w:rsid w:val="6041499C"/>
    <w:rsid w:val="63F571AA"/>
    <w:rsid w:val="67C81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156"/>
    <w:pPr>
      <w:widowControl/>
      <w:wordWrap/>
      <w:autoSpaceDE/>
      <w:autoSpaceDN/>
      <w:ind w:left="720" w:firstLine="0"/>
    </w:pPr>
    <w:rPr>
      <w:rFonts w:ascii="Calibri" w:hAnsi="Calibri" w:eastAsia="Times New Roman"/>
      <w:w w:val="100"/>
      <w:sz w:val="24"/>
      <w:szCs w:val="24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2019-10-28T08:43:00Z</dcterms:created>
  <dc:creator>廖佳</dc:creator>
  <cp:lastModifiedBy>廖佳</cp:lastModifiedBy>
  <dcterms:modified xsi:type="dcterms:W3CDTF">2019-11-06T08:40:42Z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