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A0A6C3">
      <w:pPr>
        <w:rPr>
          <w:rFonts w:hint="eastAsia" w:eastAsia="宋体"/>
          <w:lang w:eastAsia="zh-CN"/>
        </w:rPr>
      </w:pPr>
      <w:r>
        <w:rPr>
          <w:rFonts w:hint="eastAsia"/>
        </w:rPr>
        <w:t>技术参数要求确认单</w:t>
      </w:r>
      <w:r>
        <w:rPr>
          <w:rFonts w:hint="eastAsia"/>
          <w:lang w:eastAsia="zh-CN"/>
        </w:rPr>
        <w:t>：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0"/>
        <w:gridCol w:w="850"/>
        <w:gridCol w:w="1560"/>
        <w:gridCol w:w="1701"/>
        <w:gridCol w:w="2205"/>
      </w:tblGrid>
      <w:tr w14:paraId="7B8B25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7" w:hRule="atLeast"/>
        </w:trPr>
        <w:tc>
          <w:tcPr>
            <w:tcW w:w="8296" w:type="dxa"/>
            <w:gridSpan w:val="5"/>
            <w:vAlign w:val="center"/>
          </w:tcPr>
          <w:p w14:paraId="1B2A56F1">
            <w:pPr>
              <w:rPr>
                <w:rFonts w:hint="eastAsia" w:eastAsia="宋体"/>
                <w:lang w:eastAsia="zh-CN"/>
              </w:rPr>
            </w:pPr>
            <w:r>
              <w:rPr>
                <w:rFonts w:hint="eastAsia"/>
              </w:rPr>
              <w:t>项目名称</w:t>
            </w:r>
            <w:r>
              <w:rPr>
                <w:rFonts w:hint="eastAsia"/>
                <w:lang w:eastAsia="zh-CN"/>
              </w:rPr>
              <w:t>：</w:t>
            </w:r>
            <w:bookmarkStart w:id="0" w:name="_GoBack"/>
            <w:bookmarkEnd w:id="0"/>
          </w:p>
          <w:p w14:paraId="425615B2">
            <w:r>
              <w:rPr>
                <w:rFonts w:hint="eastAsia"/>
              </w:rPr>
              <w:t>跨境访问行为管理服务</w:t>
            </w:r>
          </w:p>
        </w:tc>
      </w:tr>
      <w:tr w14:paraId="3F49FD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1980" w:type="dxa"/>
            <w:vAlign w:val="center"/>
          </w:tcPr>
          <w:p w14:paraId="243254A4">
            <w:r>
              <w:rPr>
                <w:rFonts w:hint="eastAsia"/>
              </w:rPr>
              <w:t>联系人</w:t>
            </w:r>
          </w:p>
        </w:tc>
        <w:tc>
          <w:tcPr>
            <w:tcW w:w="2410" w:type="dxa"/>
            <w:gridSpan w:val="2"/>
            <w:vAlign w:val="center"/>
          </w:tcPr>
          <w:p w14:paraId="39E5E0C9">
            <w:r>
              <w:rPr>
                <w:rFonts w:hint="eastAsia"/>
                <w:lang w:val="en-US"/>
              </w:rPr>
              <w:t>闫明壮</w:t>
            </w:r>
          </w:p>
        </w:tc>
        <w:tc>
          <w:tcPr>
            <w:tcW w:w="1701" w:type="dxa"/>
            <w:vAlign w:val="center"/>
          </w:tcPr>
          <w:p w14:paraId="42ED4441">
            <w:r>
              <w:rPr>
                <w:rFonts w:hint="eastAsia"/>
              </w:rPr>
              <w:t>联系电话</w:t>
            </w:r>
          </w:p>
        </w:tc>
        <w:tc>
          <w:tcPr>
            <w:tcW w:w="2205" w:type="dxa"/>
            <w:vAlign w:val="center"/>
          </w:tcPr>
          <w:p w14:paraId="23604529">
            <w:pPr>
              <w:rPr>
                <w:lang w:val="en-US"/>
              </w:rPr>
            </w:pPr>
            <w:r>
              <w:rPr>
                <w:rFonts w:hint="eastAsia"/>
              </w:rPr>
              <w:t>025-85811</w:t>
            </w:r>
            <w:r>
              <w:rPr>
                <w:rFonts w:hint="eastAsia"/>
                <w:lang w:val="en-US"/>
              </w:rPr>
              <w:t>568</w:t>
            </w:r>
          </w:p>
        </w:tc>
      </w:tr>
      <w:tr w14:paraId="1C06E9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2830" w:type="dxa"/>
            <w:gridSpan w:val="2"/>
            <w:vAlign w:val="center"/>
          </w:tcPr>
          <w:p w14:paraId="1495B024">
            <w:r>
              <w:rPr>
                <w:rFonts w:hint="eastAsia"/>
              </w:rPr>
              <w:t>项目预算</w:t>
            </w:r>
          </w:p>
        </w:tc>
        <w:tc>
          <w:tcPr>
            <w:tcW w:w="5466" w:type="dxa"/>
            <w:gridSpan w:val="3"/>
            <w:vAlign w:val="center"/>
          </w:tcPr>
          <w:p w14:paraId="4D9303D5">
            <w:r>
              <w:rPr>
                <w:rFonts w:hint="eastAsia"/>
              </w:rPr>
              <w:t>1</w:t>
            </w:r>
            <w:r>
              <w:t>3</w:t>
            </w:r>
            <w:r>
              <w:rPr>
                <w:rFonts w:hint="eastAsia"/>
                <w:lang w:val="en-US"/>
              </w:rPr>
              <w:t>0</w:t>
            </w:r>
            <w:r>
              <w:t>000</w:t>
            </w:r>
            <w:r>
              <w:rPr>
                <w:rFonts w:hint="eastAsia"/>
              </w:rPr>
              <w:t>元</w:t>
            </w:r>
          </w:p>
        </w:tc>
      </w:tr>
      <w:tr w14:paraId="22C824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8" w:hRule="atLeast"/>
        </w:trPr>
        <w:tc>
          <w:tcPr>
            <w:tcW w:w="8296" w:type="dxa"/>
            <w:gridSpan w:val="5"/>
            <w:vAlign w:val="center"/>
          </w:tcPr>
          <w:p w14:paraId="50350B41">
            <w:pPr>
              <w:rPr>
                <w:b/>
                <w:bCs/>
              </w:rPr>
            </w:pPr>
            <w:r>
              <w:rPr>
                <w:rFonts w:hint="eastAsia"/>
              </w:rPr>
              <w:t>主要用途描述：</w:t>
            </w:r>
          </w:p>
          <w:p w14:paraId="1DFD999A">
            <w:pPr>
              <w:numPr>
                <w:ilvl w:val="0"/>
                <w:numId w:val="1"/>
              </w:numPr>
            </w:pPr>
            <w:r>
              <w:rPr>
                <w:rFonts w:hint="eastAsia"/>
              </w:rPr>
              <w:t>采购 1 年期跨境访问行为监控技术服务，配套提供流量处理能力不少于10Gbps的跨境通信威胁检测监管分析工具使用权，采用旁路镜像部署模式，不改动现有校园网络基础架构。</w:t>
            </w:r>
          </w:p>
          <w:p w14:paraId="24FA6C62">
            <w:pPr>
              <w:numPr>
                <w:ilvl w:val="0"/>
                <w:numId w:val="1"/>
              </w:numPr>
            </w:pPr>
            <w:r>
              <w:rPr>
                <w:rFonts w:hint="eastAsia"/>
              </w:rPr>
              <w:t>对校内安全设备、网络设备、服务器、办公终端等各类设备上网行为开展监测分析，识别加密 VPN、代理隧道等隐蔽违规跨境访问行为，生成告警日志，完善网络日志归集，强化上网行为追溯能力。</w:t>
            </w:r>
          </w:p>
          <w:p w14:paraId="361CB15C">
            <w:pPr>
              <w:numPr>
                <w:ilvl w:val="0"/>
                <w:numId w:val="1"/>
              </w:numPr>
            </w:pPr>
            <w:r>
              <w:rPr>
                <w:rFonts w:hint="eastAsia"/>
              </w:rPr>
              <w:t>支撑跨境安全事件研判、溯源取证，可联动学校现有防火墙、DNS 设备实现告警处置；对接校内身份认证系统，实现 IP 与学号 / 工号关联定位违规人员。</w:t>
            </w:r>
          </w:p>
          <w:p w14:paraId="05CCF463">
            <w:pPr>
              <w:numPr>
                <w:ilvl w:val="0"/>
                <w:numId w:val="1"/>
              </w:numPr>
            </w:pPr>
            <w:r>
              <w:rPr>
                <w:rFonts w:hint="eastAsia"/>
              </w:rPr>
              <w:t>服务期内提供小时级威胁特征库自动更新、7×24 小时原厂远程技术支撑、定期安全态势报表输出、跨境事件辅助研判取证、运维操作培训，构建 “发现 — 告警 — 溯源 — 研判处置” 闭环管控，满足教育部、省教育厅网络安全监管及等保合规相关要求。</w:t>
            </w:r>
          </w:p>
        </w:tc>
      </w:tr>
      <w:tr w14:paraId="0F3B6C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3" w:hRule="atLeast"/>
        </w:trPr>
        <w:tc>
          <w:tcPr>
            <w:tcW w:w="8296" w:type="dxa"/>
            <w:gridSpan w:val="5"/>
          </w:tcPr>
          <w:p w14:paraId="733C6877">
            <w:r>
              <w:rPr>
                <w:rFonts w:hint="eastAsia"/>
              </w:rPr>
              <w:t>参数要求：</w:t>
            </w:r>
          </w:p>
          <w:p w14:paraId="6F80800F">
            <w:r>
              <w:rPr>
                <w:rFonts w:hint="eastAsia"/>
              </w:rPr>
              <w:t>一、技术要求</w:t>
            </w:r>
          </w:p>
          <w:p w14:paraId="2FBDAFC5">
            <w:pPr>
              <w:numPr>
                <w:ilvl w:val="0"/>
                <w:numId w:val="2"/>
              </w:numPr>
            </w:pPr>
            <w:r>
              <w:rPr>
                <w:rFonts w:hint="eastAsia"/>
              </w:rPr>
              <w:t>流量采集能力：支持流量镜像采集，采集速率不少于10Gbps，旁路镜像部署模式，不影响现有网络架构与业务运行；可配置流量过滤规则，实时监控流量接入吞吐、丢包状态，保障采集数据完整可靠。</w:t>
            </w:r>
          </w:p>
          <w:p w14:paraId="1B0CD6D6">
            <w:pPr>
              <w:numPr>
                <w:ilvl w:val="0"/>
                <w:numId w:val="2"/>
              </w:numPr>
            </w:pPr>
            <w:r>
              <w:rPr>
                <w:rFonts w:hint="eastAsia"/>
              </w:rPr>
              <w:t>威胁识别能力：可识别标准 VPN 协议、加密 VPN 代理、加密隧道，覆盖 SS、SSR、Vmess、Trojan、Vless、Clash、Shadowrocket 等主流翻墙工具；支持合法 VPN 业务白名单配置；上线初期采用 “先监测、后阻断” 策略。</w:t>
            </w:r>
          </w:p>
          <w:p w14:paraId="569A810B">
            <w:pPr>
              <w:numPr>
                <w:ilvl w:val="0"/>
                <w:numId w:val="2"/>
              </w:numPr>
            </w:pPr>
            <w:r>
              <w:rPr>
                <w:rFonts w:hint="eastAsia"/>
              </w:rPr>
              <w:t>告警联动处置：支持防火墙 API、RST包、交换机包过滤、DNS 重定向共4种处置方式；检测工具仅输出告警信息，所有封禁拦截动作调用学校现有安全设备接口执行，工具本身不直接篡改网络流量；支持手动</w:t>
            </w:r>
            <w:r>
              <w:rPr>
                <w:rFonts w:hint="eastAsia"/>
                <w:lang w:val="en-US"/>
              </w:rPr>
              <w:t>/</w:t>
            </w:r>
            <w:r>
              <w:rPr>
                <w:rFonts w:hint="eastAsia"/>
              </w:rPr>
              <w:t>自动阻断触发模式，临时</w:t>
            </w:r>
            <w:r>
              <w:rPr>
                <w:rFonts w:hint="eastAsia"/>
                <w:lang w:val="en-US"/>
              </w:rPr>
              <w:t>/</w:t>
            </w:r>
            <w:r>
              <w:rPr>
                <w:rFonts w:hint="eastAsia"/>
              </w:rPr>
              <w:t>长期</w:t>
            </w:r>
            <w:r>
              <w:rPr>
                <w:rFonts w:hint="eastAsia"/>
                <w:lang w:val="en-US"/>
              </w:rPr>
              <w:t>/</w:t>
            </w:r>
            <w:r>
              <w:rPr>
                <w:rFonts w:hint="eastAsia"/>
              </w:rPr>
              <w:t>定期阻断类型可配置。</w:t>
            </w:r>
          </w:p>
          <w:p w14:paraId="005570C5">
            <w:pPr>
              <w:numPr>
                <w:ilvl w:val="0"/>
                <w:numId w:val="2"/>
              </w:numPr>
            </w:pPr>
            <w:r>
              <w:rPr>
                <w:rFonts w:hint="eastAsia"/>
              </w:rPr>
              <w:t>溯源取证能力：支持抓取并留存违规流量 PCAP 文件，关联 IP、终端信息，对接认证系统获取学号</w:t>
            </w:r>
            <w:r>
              <w:rPr>
                <w:rFonts w:hint="eastAsia"/>
                <w:lang w:val="en-US"/>
              </w:rPr>
              <w:t>/</w:t>
            </w:r>
            <w:r>
              <w:rPr>
                <w:rFonts w:hint="eastAsia"/>
              </w:rPr>
              <w:t>工号，构建完整事件证据链。</w:t>
            </w:r>
          </w:p>
          <w:p w14:paraId="68D3ED03">
            <w:pPr>
              <w:numPr>
                <w:ilvl w:val="0"/>
                <w:numId w:val="2"/>
              </w:numPr>
            </w:pPr>
            <w:r>
              <w:rPr>
                <w:rFonts w:hint="eastAsia"/>
              </w:rPr>
              <w:t>可视化态势分析：支持告警统计、访问趋势、目标域名</w:t>
            </w:r>
            <w:r>
              <w:rPr>
                <w:rFonts w:hint="eastAsia"/>
                <w:lang w:val="en-US"/>
              </w:rPr>
              <w:t>/</w:t>
            </w:r>
            <w:r>
              <w:rPr>
                <w:rFonts w:hint="eastAsia"/>
              </w:rPr>
              <w:t>IP 排行、协议类型分析、VPN 访问画像、通信关系图谱展示；支持输出季度安全态势分析报告。</w:t>
            </w:r>
          </w:p>
          <w:p w14:paraId="253875D1">
            <w:pPr>
              <w:numPr>
                <w:ilvl w:val="0"/>
                <w:numId w:val="2"/>
              </w:numPr>
            </w:pPr>
            <w:r>
              <w:rPr>
                <w:rFonts w:hint="eastAsia"/>
              </w:rPr>
              <w:t>特征库升级能力：威胁特征库每天自动更新；支持自定义配置特征库同步策略，可设置定时同步时间、同步周期，支持手动立即同步。</w:t>
            </w:r>
          </w:p>
          <w:p w14:paraId="020CA01B">
            <w:pPr>
              <w:numPr>
                <w:ilvl w:val="0"/>
                <w:numId w:val="2"/>
              </w:numPr>
            </w:pPr>
            <w:r>
              <w:rPr>
                <w:rFonts w:hint="eastAsia"/>
              </w:rPr>
              <w:t>身份关联能力：支持与校内身份认证系统对接，实现 IP</w:t>
            </w:r>
            <w:r>
              <w:rPr>
                <w:rFonts w:hint="eastAsia"/>
                <w:lang w:val="en-US"/>
              </w:rPr>
              <w:t>-</w:t>
            </w:r>
            <w:r>
              <w:rPr>
                <w:rFonts w:hint="eastAsia"/>
              </w:rPr>
              <w:t>学号</w:t>
            </w:r>
            <w:r>
              <w:rPr>
                <w:rFonts w:hint="eastAsia"/>
                <w:lang w:val="en-US"/>
              </w:rPr>
              <w:t>/</w:t>
            </w:r>
            <w:r>
              <w:rPr>
                <w:rFonts w:hint="eastAsia"/>
              </w:rPr>
              <w:t>工号映射，统计各部门告警情况，身份关联率≥95%。</w:t>
            </w:r>
          </w:p>
          <w:p w14:paraId="3966E2BB">
            <w:pPr>
              <w:numPr>
                <w:ilvl w:val="0"/>
                <w:numId w:val="2"/>
              </w:numPr>
            </w:pPr>
            <w:r>
              <w:rPr>
                <w:rFonts w:hint="eastAsia"/>
              </w:rPr>
              <w:t>日志管理追溯：完善校园网络日志归集管理，实现上网行为全链路追溯。</w:t>
            </w:r>
          </w:p>
          <w:p w14:paraId="3B14FF3F">
            <w:pPr>
              <w:numPr>
                <w:ilvl w:val="0"/>
                <w:numId w:val="2"/>
              </w:numPr>
            </w:pPr>
            <w:r>
              <w:rPr>
                <w:rFonts w:hint="eastAsia"/>
              </w:rPr>
              <w:t>报表能力：自动生成违规行为统计报表，支撑日常网络安全审计与溯源排查；支持构建校园网络通信关系图谱，梳理全量终端外联访问路径。</w:t>
            </w:r>
          </w:p>
          <w:p w14:paraId="2F90E02A">
            <w:pPr>
              <w:ind w:firstLine="422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二、内容清单</w:t>
            </w:r>
          </w:p>
          <w:tbl>
            <w:tblPr>
              <w:tblStyle w:val="4"/>
              <w:tblW w:w="7865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382"/>
              <w:gridCol w:w="5483"/>
            </w:tblGrid>
            <w:tr w14:paraId="51147B8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29" w:hRule="atLeast"/>
                <w:jc w:val="center"/>
              </w:trPr>
              <w:tc>
                <w:tcPr>
                  <w:tcW w:w="2382" w:type="dxa"/>
                  <w:vAlign w:val="center"/>
                </w:tcPr>
                <w:p w14:paraId="63F481A6">
                  <w:pPr>
                    <w:ind w:firstLine="0" w:firstLineChars="0"/>
                    <w:jc w:val="center"/>
                    <w:rPr>
                      <w:b/>
                      <w:bCs/>
                    </w:rPr>
                  </w:pPr>
                  <w:r>
                    <w:rPr>
                      <w:rFonts w:hint="eastAsia"/>
                      <w:b/>
                      <w:bCs/>
                      <w:lang w:val="en-US"/>
                    </w:rPr>
                    <w:t>项目</w:t>
                  </w:r>
                </w:p>
              </w:tc>
              <w:tc>
                <w:tcPr>
                  <w:tcW w:w="5483" w:type="dxa"/>
                  <w:vAlign w:val="center"/>
                </w:tcPr>
                <w:p w14:paraId="361EA7B4">
                  <w:pPr>
                    <w:ind w:firstLineChars="199"/>
                    <w:jc w:val="center"/>
                    <w:rPr>
                      <w:b/>
                      <w:bCs/>
                    </w:rPr>
                  </w:pPr>
                  <w:r>
                    <w:rPr>
                      <w:rFonts w:hint="eastAsia"/>
                      <w:b/>
                      <w:bCs/>
                    </w:rPr>
                    <w:t>描述</w:t>
                  </w:r>
                </w:p>
              </w:tc>
            </w:tr>
            <w:tr w14:paraId="4617837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70" w:hRule="atLeast"/>
                <w:jc w:val="center"/>
              </w:trPr>
              <w:tc>
                <w:tcPr>
                  <w:tcW w:w="2382" w:type="dxa"/>
                  <w:vAlign w:val="center"/>
                </w:tcPr>
                <w:p w14:paraId="19D3F3C4">
                  <w:pPr>
                    <w:ind w:firstLine="0" w:firstLineChars="0"/>
                    <w:jc w:val="left"/>
                  </w:pPr>
                  <w:r>
                    <w:rPr>
                      <w:rFonts w:hint="eastAsia"/>
                    </w:rPr>
                    <w:t>跨境访问行为监控服务（服务期1年）</w:t>
                  </w:r>
                </w:p>
              </w:tc>
              <w:tc>
                <w:tcPr>
                  <w:tcW w:w="5483" w:type="dxa"/>
                  <w:vAlign w:val="center"/>
                </w:tcPr>
                <w:p w14:paraId="733B5422">
                  <w:pPr>
                    <w:ind w:firstLine="0" w:firstLineChars="0"/>
                    <w:jc w:val="left"/>
                  </w:pPr>
                  <w:r>
                    <w:rPr>
                      <w:rFonts w:hint="eastAsia"/>
                    </w:rPr>
                    <w:t>流量处理能力不少于10Gbps的跨境通信威胁检测监管分析工具使用权，服务周期 1 年，采用旁路部署，不含硬件设备所有权，服务到期停止使用。</w:t>
                  </w:r>
                </w:p>
              </w:tc>
            </w:tr>
            <w:tr w14:paraId="071F467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  <w:jc w:val="center"/>
              </w:trPr>
              <w:tc>
                <w:tcPr>
                  <w:tcW w:w="2382" w:type="dxa"/>
                  <w:vAlign w:val="center"/>
                </w:tcPr>
                <w:p w14:paraId="0F1AD096">
                  <w:pPr>
                    <w:ind w:firstLine="0" w:firstLineChars="0"/>
                    <w:jc w:val="left"/>
                    <w:rPr>
                      <w:lang w:val="en-US"/>
                    </w:rPr>
                  </w:pPr>
                  <w:r>
                    <w:rPr>
                      <w:rFonts w:hint="eastAsia"/>
                    </w:rPr>
                    <w:t>系统部署实施</w:t>
                  </w:r>
                </w:p>
              </w:tc>
              <w:tc>
                <w:tcPr>
                  <w:tcW w:w="5483" w:type="dxa"/>
                  <w:vAlign w:val="center"/>
                </w:tcPr>
                <w:p w14:paraId="12C0BCFF">
                  <w:pPr>
                    <w:ind w:firstLine="0" w:firstLineChars="0"/>
                    <w:jc w:val="left"/>
                  </w:pPr>
                  <w:r>
                    <w:rPr>
                      <w:rFonts w:hint="eastAsia"/>
                    </w:rPr>
                    <w:t>前期现场勘测、方案规划、工具部署上架、镜像配置、网络调试、策略初始化配置（流量过滤规则、合法VPN白名单、阻断策略等）。</w:t>
                  </w:r>
                </w:p>
              </w:tc>
            </w:tr>
            <w:tr w14:paraId="20F33E5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76" w:hRule="atLeast"/>
                <w:jc w:val="center"/>
              </w:trPr>
              <w:tc>
                <w:tcPr>
                  <w:tcW w:w="2382" w:type="dxa"/>
                  <w:vAlign w:val="center"/>
                </w:tcPr>
                <w:p w14:paraId="55DE6C03">
                  <w:pPr>
                    <w:ind w:firstLine="0" w:firstLineChars="0"/>
                    <w:jc w:val="left"/>
                    <w:rPr>
                      <w:lang w:val="en-US"/>
                    </w:rPr>
                  </w:pPr>
                  <w:r>
                    <w:rPr>
                      <w:rFonts w:hint="eastAsia"/>
                    </w:rPr>
                    <w:t>对接集成</w:t>
                  </w:r>
                </w:p>
              </w:tc>
              <w:tc>
                <w:tcPr>
                  <w:tcW w:w="5483" w:type="dxa"/>
                  <w:vAlign w:val="center"/>
                </w:tcPr>
                <w:p w14:paraId="50E29ECF">
                  <w:pPr>
                    <w:ind w:firstLine="0" w:firstLineChars="0"/>
                    <w:jc w:val="left"/>
                  </w:pPr>
                  <w:r>
                    <w:rPr>
                      <w:rFonts w:hint="eastAsia"/>
                    </w:rPr>
                    <w:t>与学校现有出口防火墙（派网设备）API对接实现联动阻断，一周</w:t>
                  </w:r>
                  <w:r>
                    <w:rPr>
                      <w:rFonts w:hint="eastAsia"/>
                      <w:lang w:val="en-US"/>
                    </w:rPr>
                    <w:t>类</w:t>
                  </w:r>
                  <w:r>
                    <w:rPr>
                      <w:rFonts w:hint="eastAsia"/>
                    </w:rPr>
                    <w:t>完成对接开发与测试；与学校现有身份认证系统对接，完成IP与学号/工号实时映射及日志数据归集。</w:t>
                  </w:r>
                </w:p>
              </w:tc>
            </w:tr>
            <w:tr w14:paraId="429382C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76" w:hRule="atLeast"/>
                <w:jc w:val="center"/>
              </w:trPr>
              <w:tc>
                <w:tcPr>
                  <w:tcW w:w="2382" w:type="dxa"/>
                  <w:vAlign w:val="center"/>
                </w:tcPr>
                <w:p w14:paraId="2EAC8DD1">
                  <w:pPr>
                    <w:ind w:firstLine="0" w:firstLineChars="0"/>
                    <w:jc w:val="left"/>
                  </w:pPr>
                  <w:r>
                    <w:rPr>
                      <w:rFonts w:hint="eastAsia"/>
                    </w:rPr>
                    <w:t>培训与文档</w:t>
                  </w:r>
                </w:p>
              </w:tc>
              <w:tc>
                <w:tcPr>
                  <w:tcW w:w="5483" w:type="dxa"/>
                  <w:vAlign w:val="center"/>
                </w:tcPr>
                <w:p w14:paraId="2CC95375">
                  <w:pPr>
                    <w:ind w:firstLine="0" w:firstLineChars="0"/>
                    <w:jc w:val="left"/>
                  </w:pPr>
                  <w:r>
                    <w:rPr>
                      <w:rFonts w:hint="eastAsia"/>
                    </w:rPr>
                    <w:t>对网络中心技术人员进行工具操作、事件研判处置培训，建立完善的运维文档和操作手册。</w:t>
                  </w:r>
                </w:p>
              </w:tc>
            </w:tr>
            <w:tr w14:paraId="17A8187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76" w:hRule="atLeast"/>
                <w:jc w:val="center"/>
              </w:trPr>
              <w:tc>
                <w:tcPr>
                  <w:tcW w:w="2382" w:type="dxa"/>
                  <w:vAlign w:val="center"/>
                </w:tcPr>
                <w:p w14:paraId="300BD206">
                  <w:pPr>
                    <w:ind w:firstLine="0" w:firstLineChars="0"/>
                    <w:jc w:val="left"/>
                    <w:rPr>
                      <w:lang w:val="en-US"/>
                    </w:rPr>
                  </w:pPr>
                  <w:r>
                    <w:rPr>
                      <w:rFonts w:hint="eastAsia"/>
                      <w:lang w:val="en-US"/>
                    </w:rPr>
                    <w:t>规则库及软件维护</w:t>
                  </w:r>
                </w:p>
              </w:tc>
              <w:tc>
                <w:tcPr>
                  <w:tcW w:w="5483" w:type="dxa"/>
                  <w:vAlign w:val="center"/>
                </w:tcPr>
                <w:p w14:paraId="5084F497">
                  <w:pPr>
                    <w:ind w:firstLine="0" w:firstLineChars="0"/>
                    <w:jc w:val="left"/>
                  </w:pPr>
                  <w:r>
                    <w:rPr>
                      <w:rFonts w:hint="eastAsia"/>
                    </w:rPr>
                    <w:t>服务期内小时级威胁特征库升级、系统版本迭代更新服务；</w:t>
                  </w:r>
                </w:p>
              </w:tc>
            </w:tr>
            <w:tr w14:paraId="3768E43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76" w:hRule="atLeast"/>
                <w:jc w:val="center"/>
              </w:trPr>
              <w:tc>
                <w:tcPr>
                  <w:tcW w:w="2382" w:type="dxa"/>
                  <w:vAlign w:val="center"/>
                </w:tcPr>
                <w:p w14:paraId="26BFCF12">
                  <w:pPr>
                    <w:ind w:firstLine="0" w:firstLineChars="0"/>
                    <w:jc w:val="left"/>
                    <w:rPr>
                      <w:lang w:val="en-US"/>
                    </w:rPr>
                  </w:pPr>
                  <w:r>
                    <w:rPr>
                      <w:rFonts w:hint="eastAsia"/>
                      <w:lang w:val="en-US"/>
                    </w:rPr>
                    <w:t>应急及报告服务</w:t>
                  </w:r>
                </w:p>
              </w:tc>
              <w:tc>
                <w:tcPr>
                  <w:tcW w:w="5483" w:type="dxa"/>
                  <w:vAlign w:val="center"/>
                </w:tcPr>
                <w:p w14:paraId="2777BBB5">
                  <w:pPr>
                    <w:ind w:firstLine="0" w:firstLineChars="0"/>
                    <w:jc w:val="left"/>
                  </w:pPr>
                  <w:r>
                    <w:rPr>
                      <w:rFonts w:hint="eastAsia"/>
                    </w:rPr>
                    <w:t>7×24 小时原厂远程技术支撑、跨境安全事件辅助研判取证、季度安全态势分析报告输出。</w:t>
                  </w:r>
                </w:p>
              </w:tc>
            </w:tr>
          </w:tbl>
          <w:p w14:paraId="4E092864"/>
          <w:p w14:paraId="505F668F">
            <w:pPr>
              <w:ind w:firstLine="422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三、售后服务</w:t>
            </w:r>
          </w:p>
          <w:p w14:paraId="76EE5ACE">
            <w:pPr>
              <w:spacing w:line="400" w:lineRule="exact"/>
              <w:rPr>
                <w:lang w:val="en-US"/>
              </w:rPr>
            </w:pPr>
            <w:r>
              <w:rPr>
                <w:rFonts w:hint="eastAsia"/>
                <w:lang w:val="en-US"/>
              </w:rPr>
              <w:t>1、服务周期自项目终验合格之日起 1 年，供应商提供 7×24 小时原厂远程技术支持，故障 30 分钟响应，重大跨境安全事件提供技术研判支撑。</w:t>
            </w:r>
          </w:p>
          <w:p w14:paraId="311E8F64">
            <w:pPr>
              <w:spacing w:line="400" w:lineRule="exact"/>
              <w:rPr>
                <w:lang w:val="en-US"/>
              </w:rPr>
            </w:pPr>
            <w:r>
              <w:rPr>
                <w:rFonts w:hint="eastAsia"/>
                <w:lang w:val="en-US"/>
              </w:rPr>
              <w:t>2、服务期内提供小时级威胁特征库自动更新、系统版本迭代升级，持续适配各类新型翻墙工具变种。</w:t>
            </w:r>
          </w:p>
          <w:p w14:paraId="7C6FC139">
            <w:pPr>
              <w:spacing w:line="400" w:lineRule="exact"/>
              <w:rPr>
                <w:lang w:val="en-US"/>
              </w:rPr>
            </w:pPr>
            <w:r>
              <w:rPr>
                <w:rFonts w:hint="eastAsia"/>
                <w:lang w:val="en-US"/>
              </w:rPr>
              <w:t>3、提供专项操作与事件研判处置培训，交付完整操作手册、运维文档。</w:t>
            </w:r>
          </w:p>
          <w:p w14:paraId="66549600">
            <w:pPr>
              <w:spacing w:line="400" w:lineRule="exact"/>
              <w:rPr>
                <w:lang w:val="en-US"/>
              </w:rPr>
            </w:pPr>
            <w:r>
              <w:rPr>
                <w:rFonts w:hint="eastAsia"/>
                <w:lang w:val="en-US"/>
              </w:rPr>
              <w:t>4、开展定期设备巡检，每季度输出安全态势分析报告，针对跨境安全事件提供辅助研判、取证技术支撑。</w:t>
            </w:r>
          </w:p>
          <w:p w14:paraId="560B6639">
            <w:pPr>
              <w:spacing w:line="400" w:lineRule="exact"/>
              <w:rPr>
                <w:lang w:val="en-US"/>
              </w:rPr>
            </w:pPr>
            <w:r>
              <w:rPr>
                <w:rFonts w:hint="eastAsia"/>
                <w:lang w:val="en-US"/>
              </w:rPr>
              <w:t>5、采购合同明确 SLA 服务等级考核指标，约定特征库更新时效、7×24 故障响应、事件研判支撑要求，设置履约约束考核条款。</w:t>
            </w:r>
          </w:p>
          <w:p w14:paraId="0E5D8BF3">
            <w:pPr>
              <w:ind w:firstLine="422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四、项目的其他要求及说明</w:t>
            </w:r>
          </w:p>
          <w:p w14:paraId="35CEAAB1">
            <w:pPr>
              <w:spacing w:line="400" w:lineRule="exact"/>
            </w:pPr>
            <w:r>
              <w:rPr>
                <w:rFonts w:hint="eastAsia"/>
              </w:rPr>
              <w:t>本项目采用旁路镜像部署，不改动现有校园网络基础架构；工具仅输出告警，不直接篡改网络流量，全部阻断处置动作调用学校现有安全设备接口完成。</w:t>
            </w:r>
          </w:p>
          <w:p w14:paraId="547711BB">
            <w:pPr>
              <w:spacing w:line="400" w:lineRule="exact"/>
            </w:pPr>
            <w:r>
              <w:rPr>
                <w:rFonts w:hint="eastAsia"/>
              </w:rPr>
              <w:t>须兼容学校现有派网出口防火墙、DNS 服务器，支持 API 接口联动；可对接校内身份认证系统完成 IP‑学号 / 工号映射。</w:t>
            </w:r>
          </w:p>
          <w:p w14:paraId="76F00D12">
            <w:pPr>
              <w:spacing w:line="400" w:lineRule="exact"/>
            </w:pPr>
            <w:r>
              <w:rPr>
                <w:rFonts w:hint="eastAsia"/>
              </w:rPr>
              <w:t>性能指标要求：违规跨境访问行为识别率不低于 98%，告警响应时长不超过 5 分钟，校园出口流量监控覆盖率达到 100%。</w:t>
            </w:r>
          </w:p>
          <w:p w14:paraId="72325915">
            <w:pPr>
              <w:spacing w:line="400" w:lineRule="exact"/>
            </w:pPr>
            <w:r>
              <w:rPr>
                <w:rFonts w:hint="eastAsia"/>
              </w:rPr>
              <w:t>服务的技术标准按该业务的行业和国家标准执行，同时必须达到学校提出的功能标准，并且提供完善的售后服务保障。</w:t>
            </w:r>
          </w:p>
          <w:p w14:paraId="109069E7">
            <w:pPr>
              <w:spacing w:line="400" w:lineRule="exact"/>
            </w:pPr>
            <w:r>
              <w:rPr>
                <w:rFonts w:hint="eastAsia"/>
              </w:rPr>
              <w:t>本项目属于技术服务采购，仅提供工具使用权，不采购硬件固定资产。</w:t>
            </w:r>
          </w:p>
        </w:tc>
      </w:tr>
    </w:tbl>
    <w:p w14:paraId="75B8A3B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420"/>
      </w:pPr>
      <w:r>
        <w:separator/>
      </w:r>
    </w:p>
  </w:footnote>
  <w:footnote w:type="continuationSeparator" w:id="1">
    <w:p>
      <w:pPr>
        <w:spacing w:line="240" w:lineRule="auto"/>
        <w:ind w:firstLine="42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7BFC353"/>
    <w:multiLevelType w:val="singleLevel"/>
    <w:tmpl w:val="F7BFC353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399D5C8A"/>
    <w:multiLevelType w:val="singleLevel"/>
    <w:tmpl w:val="399D5C8A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WUzNTE1ZDgyOGMzYzFkNmJmNjYxN2JlMDllODBiN2YifQ=="/>
  </w:docVars>
  <w:rsids>
    <w:rsidRoot w:val="009917FC"/>
    <w:rsid w:val="00000E36"/>
    <w:rsid w:val="000025BE"/>
    <w:rsid w:val="00022015"/>
    <w:rsid w:val="000256E1"/>
    <w:rsid w:val="00052BD8"/>
    <w:rsid w:val="00060AE7"/>
    <w:rsid w:val="00060E5F"/>
    <w:rsid w:val="00077372"/>
    <w:rsid w:val="0008577F"/>
    <w:rsid w:val="000A6DC0"/>
    <w:rsid w:val="000B3464"/>
    <w:rsid w:val="000C3B98"/>
    <w:rsid w:val="000C7A2A"/>
    <w:rsid w:val="000F55E9"/>
    <w:rsid w:val="000F73D2"/>
    <w:rsid w:val="0010168B"/>
    <w:rsid w:val="00101889"/>
    <w:rsid w:val="0011746F"/>
    <w:rsid w:val="0013317F"/>
    <w:rsid w:val="00135E6B"/>
    <w:rsid w:val="0014774C"/>
    <w:rsid w:val="0016221B"/>
    <w:rsid w:val="00163214"/>
    <w:rsid w:val="001752C3"/>
    <w:rsid w:val="00185788"/>
    <w:rsid w:val="001A011B"/>
    <w:rsid w:val="001C5780"/>
    <w:rsid w:val="00201D06"/>
    <w:rsid w:val="0020204C"/>
    <w:rsid w:val="00202F4B"/>
    <w:rsid w:val="0020673D"/>
    <w:rsid w:val="0020776C"/>
    <w:rsid w:val="00226036"/>
    <w:rsid w:val="00231125"/>
    <w:rsid w:val="002545AC"/>
    <w:rsid w:val="00255FC5"/>
    <w:rsid w:val="002754FF"/>
    <w:rsid w:val="002772D6"/>
    <w:rsid w:val="00283C65"/>
    <w:rsid w:val="00286EC2"/>
    <w:rsid w:val="00292D6F"/>
    <w:rsid w:val="002A5AFF"/>
    <w:rsid w:val="002C0E10"/>
    <w:rsid w:val="002C7F3B"/>
    <w:rsid w:val="002E5CD0"/>
    <w:rsid w:val="00314666"/>
    <w:rsid w:val="00321CAF"/>
    <w:rsid w:val="003372BD"/>
    <w:rsid w:val="003530D0"/>
    <w:rsid w:val="00380CCC"/>
    <w:rsid w:val="003A0222"/>
    <w:rsid w:val="003B117C"/>
    <w:rsid w:val="003B38F5"/>
    <w:rsid w:val="003C2FD3"/>
    <w:rsid w:val="003D4DDC"/>
    <w:rsid w:val="003D6F13"/>
    <w:rsid w:val="003D7C9A"/>
    <w:rsid w:val="003F005C"/>
    <w:rsid w:val="00400491"/>
    <w:rsid w:val="004059E6"/>
    <w:rsid w:val="004129C5"/>
    <w:rsid w:val="00416F97"/>
    <w:rsid w:val="004444A7"/>
    <w:rsid w:val="00444AD0"/>
    <w:rsid w:val="00454E0F"/>
    <w:rsid w:val="004657B7"/>
    <w:rsid w:val="004826C1"/>
    <w:rsid w:val="004835D7"/>
    <w:rsid w:val="00490DE1"/>
    <w:rsid w:val="00495AE5"/>
    <w:rsid w:val="004B773F"/>
    <w:rsid w:val="004C1AA1"/>
    <w:rsid w:val="004C37C7"/>
    <w:rsid w:val="004D0562"/>
    <w:rsid w:val="004E0031"/>
    <w:rsid w:val="00506E41"/>
    <w:rsid w:val="00510504"/>
    <w:rsid w:val="005215D3"/>
    <w:rsid w:val="00524342"/>
    <w:rsid w:val="00524459"/>
    <w:rsid w:val="00532CA3"/>
    <w:rsid w:val="0053582F"/>
    <w:rsid w:val="00543FBF"/>
    <w:rsid w:val="005445D5"/>
    <w:rsid w:val="005508BC"/>
    <w:rsid w:val="0056583E"/>
    <w:rsid w:val="005772BA"/>
    <w:rsid w:val="005B435E"/>
    <w:rsid w:val="005E38F0"/>
    <w:rsid w:val="00610553"/>
    <w:rsid w:val="0062049E"/>
    <w:rsid w:val="00630B43"/>
    <w:rsid w:val="0068033E"/>
    <w:rsid w:val="00680C55"/>
    <w:rsid w:val="00687A34"/>
    <w:rsid w:val="00692DA2"/>
    <w:rsid w:val="006A03F5"/>
    <w:rsid w:val="006B1524"/>
    <w:rsid w:val="006B2E57"/>
    <w:rsid w:val="006B6A1E"/>
    <w:rsid w:val="006C3DF1"/>
    <w:rsid w:val="006D3FA8"/>
    <w:rsid w:val="006F10B6"/>
    <w:rsid w:val="006F1A71"/>
    <w:rsid w:val="00710DC5"/>
    <w:rsid w:val="0071182F"/>
    <w:rsid w:val="00712CFF"/>
    <w:rsid w:val="00731201"/>
    <w:rsid w:val="00737445"/>
    <w:rsid w:val="00751E01"/>
    <w:rsid w:val="00756DF1"/>
    <w:rsid w:val="00766864"/>
    <w:rsid w:val="00772B62"/>
    <w:rsid w:val="0077392A"/>
    <w:rsid w:val="00773F12"/>
    <w:rsid w:val="00775A94"/>
    <w:rsid w:val="00791193"/>
    <w:rsid w:val="007A3926"/>
    <w:rsid w:val="007A681C"/>
    <w:rsid w:val="007C0E4C"/>
    <w:rsid w:val="007E18D2"/>
    <w:rsid w:val="007E7B6D"/>
    <w:rsid w:val="007E7FD8"/>
    <w:rsid w:val="00824EAD"/>
    <w:rsid w:val="00832CE2"/>
    <w:rsid w:val="008515BB"/>
    <w:rsid w:val="0085369C"/>
    <w:rsid w:val="00862B9C"/>
    <w:rsid w:val="00862BF0"/>
    <w:rsid w:val="008630C0"/>
    <w:rsid w:val="008B0D21"/>
    <w:rsid w:val="008D0E51"/>
    <w:rsid w:val="008D5030"/>
    <w:rsid w:val="008D5659"/>
    <w:rsid w:val="008E3514"/>
    <w:rsid w:val="00942F59"/>
    <w:rsid w:val="0094665F"/>
    <w:rsid w:val="00951B48"/>
    <w:rsid w:val="00952EA8"/>
    <w:rsid w:val="00965357"/>
    <w:rsid w:val="009917FC"/>
    <w:rsid w:val="00996922"/>
    <w:rsid w:val="009A634F"/>
    <w:rsid w:val="009D32C4"/>
    <w:rsid w:val="009E0624"/>
    <w:rsid w:val="00A27DB7"/>
    <w:rsid w:val="00A30109"/>
    <w:rsid w:val="00A42745"/>
    <w:rsid w:val="00A74EFD"/>
    <w:rsid w:val="00A7772A"/>
    <w:rsid w:val="00A837E8"/>
    <w:rsid w:val="00A921A9"/>
    <w:rsid w:val="00AB3E49"/>
    <w:rsid w:val="00AC042C"/>
    <w:rsid w:val="00AC7A8F"/>
    <w:rsid w:val="00AE346C"/>
    <w:rsid w:val="00AE4FF2"/>
    <w:rsid w:val="00B01943"/>
    <w:rsid w:val="00B33681"/>
    <w:rsid w:val="00B617DB"/>
    <w:rsid w:val="00B67E72"/>
    <w:rsid w:val="00B8301E"/>
    <w:rsid w:val="00B87837"/>
    <w:rsid w:val="00BB0257"/>
    <w:rsid w:val="00BB297B"/>
    <w:rsid w:val="00BB601E"/>
    <w:rsid w:val="00BD796F"/>
    <w:rsid w:val="00BF5F67"/>
    <w:rsid w:val="00C045F2"/>
    <w:rsid w:val="00C16DB2"/>
    <w:rsid w:val="00C501F6"/>
    <w:rsid w:val="00C53817"/>
    <w:rsid w:val="00C64DB0"/>
    <w:rsid w:val="00C65EBB"/>
    <w:rsid w:val="00C91499"/>
    <w:rsid w:val="00CA64D5"/>
    <w:rsid w:val="00CD068E"/>
    <w:rsid w:val="00CF05DF"/>
    <w:rsid w:val="00D0001A"/>
    <w:rsid w:val="00D04934"/>
    <w:rsid w:val="00D14890"/>
    <w:rsid w:val="00D238F1"/>
    <w:rsid w:val="00D3669A"/>
    <w:rsid w:val="00D5564A"/>
    <w:rsid w:val="00D718FC"/>
    <w:rsid w:val="00D90DAB"/>
    <w:rsid w:val="00D947DC"/>
    <w:rsid w:val="00DB064C"/>
    <w:rsid w:val="00DB093C"/>
    <w:rsid w:val="00DB119C"/>
    <w:rsid w:val="00DC7C36"/>
    <w:rsid w:val="00DD46D6"/>
    <w:rsid w:val="00DD5AED"/>
    <w:rsid w:val="00DD7401"/>
    <w:rsid w:val="00DE4067"/>
    <w:rsid w:val="00DE53FB"/>
    <w:rsid w:val="00E13E3D"/>
    <w:rsid w:val="00E85A66"/>
    <w:rsid w:val="00E9242E"/>
    <w:rsid w:val="00E950BE"/>
    <w:rsid w:val="00EC546A"/>
    <w:rsid w:val="00ED2496"/>
    <w:rsid w:val="00ED451C"/>
    <w:rsid w:val="00EE2C97"/>
    <w:rsid w:val="00F066A2"/>
    <w:rsid w:val="00F06A8F"/>
    <w:rsid w:val="00F1542B"/>
    <w:rsid w:val="00F45E48"/>
    <w:rsid w:val="00F50E1A"/>
    <w:rsid w:val="00F64A89"/>
    <w:rsid w:val="00F710F1"/>
    <w:rsid w:val="00F84F16"/>
    <w:rsid w:val="00F87486"/>
    <w:rsid w:val="00FA26E2"/>
    <w:rsid w:val="00FB02D3"/>
    <w:rsid w:val="00FB40E8"/>
    <w:rsid w:val="00FB4DB7"/>
    <w:rsid w:val="00FB6A6C"/>
    <w:rsid w:val="00FB734A"/>
    <w:rsid w:val="00FD71FE"/>
    <w:rsid w:val="00FE3498"/>
    <w:rsid w:val="00FE40A2"/>
    <w:rsid w:val="01EF113A"/>
    <w:rsid w:val="025D55C5"/>
    <w:rsid w:val="03BC07DE"/>
    <w:rsid w:val="05CB2462"/>
    <w:rsid w:val="07465DF0"/>
    <w:rsid w:val="08D1099C"/>
    <w:rsid w:val="13315001"/>
    <w:rsid w:val="177FFE9D"/>
    <w:rsid w:val="1A3B7CEC"/>
    <w:rsid w:val="1DD2341D"/>
    <w:rsid w:val="1E117218"/>
    <w:rsid w:val="21536DD7"/>
    <w:rsid w:val="21C53C9B"/>
    <w:rsid w:val="22F54D73"/>
    <w:rsid w:val="23BA71AA"/>
    <w:rsid w:val="2C82575A"/>
    <w:rsid w:val="2ECF5385"/>
    <w:rsid w:val="33EB236F"/>
    <w:rsid w:val="34244265"/>
    <w:rsid w:val="393B64D1"/>
    <w:rsid w:val="399A07CC"/>
    <w:rsid w:val="3CEB6C51"/>
    <w:rsid w:val="3FFDAB06"/>
    <w:rsid w:val="411E49D3"/>
    <w:rsid w:val="440960EB"/>
    <w:rsid w:val="48D073B7"/>
    <w:rsid w:val="4A801779"/>
    <w:rsid w:val="4EC3290C"/>
    <w:rsid w:val="53AA63E5"/>
    <w:rsid w:val="56B23ED5"/>
    <w:rsid w:val="58365CAB"/>
    <w:rsid w:val="5A7304E1"/>
    <w:rsid w:val="5B0F350D"/>
    <w:rsid w:val="5B4C67C7"/>
    <w:rsid w:val="5C367073"/>
    <w:rsid w:val="5C840725"/>
    <w:rsid w:val="5D267B12"/>
    <w:rsid w:val="5D7CC587"/>
    <w:rsid w:val="5FBC7B73"/>
    <w:rsid w:val="5FD6AEB6"/>
    <w:rsid w:val="60AE0C4D"/>
    <w:rsid w:val="62F44105"/>
    <w:rsid w:val="68DC7272"/>
    <w:rsid w:val="697B6C18"/>
    <w:rsid w:val="6B662E16"/>
    <w:rsid w:val="6EAE19F7"/>
    <w:rsid w:val="6EB57D37"/>
    <w:rsid w:val="722D5109"/>
    <w:rsid w:val="76495B12"/>
    <w:rsid w:val="76FF5E6C"/>
    <w:rsid w:val="77DF46E0"/>
    <w:rsid w:val="7BBE60D5"/>
    <w:rsid w:val="7BBF39EC"/>
    <w:rsid w:val="7DFF02D7"/>
    <w:rsid w:val="7E1E6142"/>
    <w:rsid w:val="7F46942A"/>
    <w:rsid w:val="7F7FD141"/>
    <w:rsid w:val="7F9FBCA9"/>
    <w:rsid w:val="A8F90CF5"/>
    <w:rsid w:val="A9E63066"/>
    <w:rsid w:val="BBBFACCC"/>
    <w:rsid w:val="BFD7AE85"/>
    <w:rsid w:val="DD27FE33"/>
    <w:rsid w:val="DE7DF1B9"/>
    <w:rsid w:val="EEBA8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line="240" w:lineRule="atLeast"/>
      <w:ind w:firstLine="420" w:firstLineChars="200"/>
      <w:jc w:val="both"/>
    </w:pPr>
    <w:rPr>
      <w:rFonts w:ascii="宋体" w:hAnsi="宋体" w:eastAsia="宋体" w:cstheme="minorBidi"/>
      <w:color w:val="000000"/>
      <w:kern w:val="2"/>
      <w:sz w:val="21"/>
      <w:szCs w:val="21"/>
      <w:lang w:val="zh-CN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脚 字符"/>
    <w:basedOn w:val="6"/>
    <w:link w:val="2"/>
    <w:qFormat/>
    <w:uiPriority w:val="99"/>
    <w:rPr>
      <w:kern w:val="2"/>
      <w:sz w:val="18"/>
      <w:szCs w:val="18"/>
    </w:rPr>
  </w:style>
  <w:style w:type="paragraph" w:styleId="8">
    <w:name w:val="List Paragraph"/>
    <w:basedOn w:val="1"/>
    <w:qFormat/>
    <w:uiPriority w:val="34"/>
  </w:style>
  <w:style w:type="character" w:customStyle="1" w:styleId="9">
    <w:name w:val="页眉 字符"/>
    <w:basedOn w:val="6"/>
    <w:link w:val="3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1871</Words>
  <Characters>1984</Characters>
  <Lines>14</Lines>
  <Paragraphs>4</Paragraphs>
  <TotalTime>5</TotalTime>
  <ScaleCrop>false</ScaleCrop>
  <LinksUpToDate>false</LinksUpToDate>
  <CharactersWithSpaces>2041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2026-09-21T23:15:00Z</dcterms:created>
  <dc:creator>Data</dc:creator>
  <cp:lastModifiedBy>美美</cp:lastModifiedBy>
  <dcterms:modified xsi:type="dcterms:W3CDTF">2026-09-22T07:41:51Z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790580DBB42244AF835711BCE6C87111_13</vt:lpwstr>
  </property>
  <property fmtid="{D5CDD505-2E9C-101B-9397-08002B2CF9AE}" pid="4" name="KSOTemplateDocerSaveRecord">
    <vt:lpwstr>eyJoZGlkIjoiNjcyNmI3OWMyZjUyYTI2NGZmMjIwODk4YWQ4NjBiN2MiLCJ1c2VySWQiOiIxNDc1NDQ1MDAwIn0=</vt:lpwstr>
  </property>
</Properties>
</file>