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ascii="宋体" w:hAnsi="宋体" w:eastAsia="宋体"/>
                <w:sz w:val="28"/>
                <w:szCs w:val="28"/>
              </w:rPr>
            </w:pPr>
            <w:r>
              <w:rPr>
                <w:rFonts w:hint="eastAsia" w:ascii="宋体" w:hAnsi="宋体" w:eastAsia="宋体"/>
                <w:sz w:val="28"/>
                <w:szCs w:val="28"/>
              </w:rPr>
              <w:t>产品名称</w:t>
            </w:r>
          </w:p>
        </w:tc>
        <w:tc>
          <w:tcPr>
            <w:tcW w:w="2410" w:type="dxa"/>
            <w:gridSpan w:val="2"/>
          </w:tcPr>
          <w:p>
            <w:pPr>
              <w:jc w:val="left"/>
              <w:rPr>
                <w:rFonts w:ascii="宋体" w:hAnsi="宋体" w:eastAsia="宋体"/>
                <w:sz w:val="28"/>
                <w:szCs w:val="28"/>
              </w:rPr>
            </w:pPr>
            <w:r>
              <w:rPr>
                <w:rFonts w:hint="eastAsia" w:ascii="宋体" w:hAnsi="宋体" w:eastAsia="宋体"/>
                <w:sz w:val="28"/>
                <w:szCs w:val="28"/>
              </w:rPr>
              <w:t>麻黄类方药应用思维实训虚拟仿真实验</w:t>
            </w:r>
          </w:p>
        </w:tc>
        <w:tc>
          <w:tcPr>
            <w:tcW w:w="1701" w:type="dxa"/>
          </w:tcPr>
          <w:p>
            <w:pPr>
              <w:jc w:val="left"/>
              <w:rPr>
                <w:rFonts w:ascii="宋体" w:hAnsi="宋体" w:eastAsia="宋体"/>
                <w:sz w:val="28"/>
                <w:szCs w:val="28"/>
              </w:rPr>
            </w:pPr>
            <w:r>
              <w:rPr>
                <w:rFonts w:hint="eastAsia" w:ascii="宋体" w:hAnsi="宋体" w:eastAsia="宋体"/>
                <w:sz w:val="28"/>
                <w:szCs w:val="28"/>
              </w:rPr>
              <w:t>申购信息</w:t>
            </w:r>
          </w:p>
        </w:tc>
        <w:tc>
          <w:tcPr>
            <w:tcW w:w="2205"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ascii="宋体" w:hAnsi="宋体" w:eastAsia="宋体"/>
                <w:sz w:val="28"/>
                <w:szCs w:val="28"/>
              </w:rPr>
            </w:pPr>
            <w:r>
              <w:rPr>
                <w:rFonts w:hint="eastAsia" w:ascii="宋体" w:hAnsi="宋体" w:eastAsia="宋体"/>
                <w:sz w:val="28"/>
                <w:szCs w:val="28"/>
              </w:rPr>
              <w:t>联系人</w:t>
            </w:r>
          </w:p>
        </w:tc>
        <w:tc>
          <w:tcPr>
            <w:tcW w:w="2410" w:type="dxa"/>
            <w:gridSpan w:val="2"/>
          </w:tcPr>
          <w:p>
            <w:pPr>
              <w:jc w:val="left"/>
              <w:rPr>
                <w:rFonts w:ascii="宋体" w:hAnsi="宋体" w:eastAsia="宋体"/>
                <w:sz w:val="28"/>
                <w:szCs w:val="28"/>
              </w:rPr>
            </w:pPr>
          </w:p>
        </w:tc>
        <w:tc>
          <w:tcPr>
            <w:tcW w:w="1701" w:type="dxa"/>
          </w:tcPr>
          <w:p>
            <w:pPr>
              <w:jc w:val="left"/>
              <w:rPr>
                <w:rFonts w:ascii="宋体" w:hAnsi="宋体" w:eastAsia="宋体"/>
                <w:sz w:val="28"/>
                <w:szCs w:val="28"/>
              </w:rPr>
            </w:pPr>
            <w:r>
              <w:rPr>
                <w:rFonts w:hint="eastAsia" w:ascii="宋体" w:hAnsi="宋体" w:eastAsia="宋体"/>
                <w:sz w:val="28"/>
                <w:szCs w:val="28"/>
              </w:rPr>
              <w:t>联系电话</w:t>
            </w:r>
          </w:p>
        </w:tc>
        <w:tc>
          <w:tcPr>
            <w:tcW w:w="2205"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pPr>
              <w:rPr>
                <w:rFonts w:ascii="宋体" w:hAnsi="宋体" w:eastAsia="宋体"/>
                <w:sz w:val="28"/>
                <w:szCs w:val="28"/>
              </w:rPr>
            </w:pPr>
            <w:r>
              <w:rPr>
                <w:rFonts w:hint="eastAsia" w:ascii="宋体" w:hAnsi="宋体" w:eastAsia="宋体"/>
                <w:sz w:val="28"/>
                <w:szCs w:val="28"/>
              </w:rPr>
              <w:t>主要用途描述：</w:t>
            </w:r>
          </w:p>
          <w:p>
            <w:pPr>
              <w:ind w:firstLine="480" w:firstLineChars="200"/>
              <w:rPr>
                <w:rFonts w:ascii="宋体" w:hAnsi="宋体" w:eastAsia="宋体"/>
                <w:sz w:val="28"/>
                <w:szCs w:val="28"/>
              </w:rPr>
            </w:pPr>
            <w:r>
              <w:rPr>
                <w:rFonts w:hint="eastAsia" w:asciiTheme="minorEastAsia" w:hAnsiTheme="minorEastAsia"/>
                <w:kern w:val="0"/>
                <w:sz w:val="24"/>
              </w:rPr>
              <w:t>中药和方剂是中医临床防治疾病的主要工具，中药学和方剂学课程是中医学专业的主干课程，是联系基础与临床、沟通医学与药学的重要桥梁。本项目以麻黄类方药应用为切入点，培养学生良好的辨证思维、识证选方、遣药制方、随证化裁等临床思维能力，这是中药学和方剂学课程教学的重要目标，更是衡量医学生培养质量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296" w:type="dxa"/>
            <w:gridSpan w:val="5"/>
          </w:tcPr>
          <w:p>
            <w:pPr>
              <w:rPr>
                <w:rFonts w:ascii="宋体" w:hAnsi="宋体" w:eastAsia="宋体"/>
                <w:sz w:val="28"/>
                <w:szCs w:val="28"/>
              </w:rPr>
            </w:pPr>
            <w:r>
              <w:rPr>
                <w:rFonts w:hint="eastAsia" w:ascii="宋体" w:hAnsi="宋体" w:eastAsia="宋体"/>
                <w:sz w:val="28"/>
                <w:szCs w:val="28"/>
              </w:rPr>
              <w:t>参数要求：</w:t>
            </w:r>
          </w:p>
          <w:p>
            <w:pPr>
              <w:pStyle w:val="10"/>
              <w:numPr>
                <w:ilvl w:val="0"/>
                <w:numId w:val="1"/>
              </w:numPr>
              <w:spacing w:after="0"/>
              <w:ind w:firstLineChars="0"/>
              <w:jc w:val="left"/>
              <w:rPr>
                <w:rFonts w:asciiTheme="minorEastAsia" w:hAnsiTheme="minorEastAsia" w:eastAsiaTheme="minorEastAsia"/>
                <w:b/>
                <w:sz w:val="24"/>
              </w:rPr>
            </w:pPr>
            <w:r>
              <w:rPr>
                <w:rFonts w:hint="eastAsia" w:asciiTheme="minorEastAsia" w:hAnsiTheme="minorEastAsia" w:eastAsiaTheme="minorEastAsia"/>
                <w:b/>
                <w:sz w:val="24"/>
              </w:rPr>
              <w:t>实验目的：</w:t>
            </w:r>
          </w:p>
          <w:p>
            <w:pPr>
              <w:rPr>
                <w:rFonts w:asciiTheme="minorEastAsia" w:hAnsiTheme="minorEastAsia"/>
                <w:kern w:val="0"/>
                <w:sz w:val="24"/>
              </w:rPr>
            </w:pPr>
            <w:r>
              <w:rPr>
                <w:rFonts w:hint="eastAsia" w:asciiTheme="minorEastAsia" w:hAnsiTheme="minorEastAsia"/>
                <w:kern w:val="0"/>
                <w:sz w:val="24"/>
              </w:rPr>
              <w:t>本项目的意义在于：</w:t>
            </w:r>
          </w:p>
          <w:p>
            <w:pPr>
              <w:ind w:firstLine="480" w:firstLineChars="200"/>
              <w:rPr>
                <w:rFonts w:asciiTheme="minorEastAsia" w:hAnsiTheme="minorEastAsia"/>
                <w:kern w:val="0"/>
                <w:sz w:val="24"/>
              </w:rPr>
            </w:pPr>
            <w:r>
              <w:rPr>
                <w:rFonts w:hint="eastAsia" w:asciiTheme="minorEastAsia" w:hAnsiTheme="minorEastAsia"/>
                <w:kern w:val="0"/>
                <w:sz w:val="24"/>
              </w:rPr>
              <w:t>第一，利于中医思维培养：方药是中医临床学子中医思维体现及辨证能力检测的主要载体。课程中方药组成、功效、适应证的学习体现属于知识记忆为主的线型简单思维，本项目着眼于以解决临床复杂问题为导向的方药具体运用及探究，搭建利于知识记忆、理解向运用、分析、评价乃至创新的能力正向迁移的实训平台，实现区别于传统教学的中医药复合、抽象思维培训。而这种思维铸造与培养受到课时与教学成本限制，在现实场景及有限课时中无法实现。麻黄类方及相应药物内容占比很大，在呼吸、循环、运动多系统多种疾病的治疗中运用甚广，但在第一课堂只占两门课程各1/20的课时。即便有网络在线课程、极少量课堂见习补充，也无法达成上述目标。</w:t>
            </w:r>
          </w:p>
          <w:p>
            <w:pPr>
              <w:ind w:firstLine="480" w:firstLineChars="200"/>
              <w:rPr>
                <w:rFonts w:asciiTheme="minorEastAsia" w:hAnsiTheme="minorEastAsia"/>
                <w:kern w:val="0"/>
                <w:sz w:val="24"/>
              </w:rPr>
            </w:pPr>
            <w:r>
              <w:rPr>
                <w:rFonts w:hint="eastAsia" w:asciiTheme="minorEastAsia" w:hAnsiTheme="minorEastAsia"/>
                <w:kern w:val="0"/>
                <w:sz w:val="24"/>
              </w:rPr>
              <w:t xml:space="preserve">第二，符合医学伦理要求： 方药使用及效果展示不可能在病患者身上真实体现。麻黄类方以麻黄为主药，对各种咳喘及心血管疾病、消化系统疾病等均有佳效，但麻黄及细辛、附子、桂枝等，误用后是毒副作用易产生的主要原因，在现实场景中无法观察负效应，以此类方为主虚拟3D病人的用药变化实现仿真，可以充分展示方药的正负效应，牢固树立学习的安全用药意识。 </w:t>
            </w:r>
          </w:p>
          <w:p>
            <w:pPr>
              <w:ind w:firstLine="480" w:firstLineChars="200"/>
              <w:rPr>
                <w:rFonts w:asciiTheme="minorEastAsia" w:hAnsiTheme="minorEastAsia"/>
                <w:kern w:val="0"/>
                <w:sz w:val="24"/>
              </w:rPr>
            </w:pPr>
            <w:r>
              <w:rPr>
                <w:rFonts w:hint="eastAsia" w:asciiTheme="minorEastAsia" w:hAnsiTheme="minorEastAsia"/>
                <w:kern w:val="0"/>
                <w:sz w:val="24"/>
              </w:rPr>
              <w:t>第三，体现知识能力整合： 方药课程结合，配合现代药效药理研究实验开展，形象生动的各种药材原植物、药材形态展示及鉴别，强化医药综合知识整合，培养医药复合思维，提升临床复合能力。</w:t>
            </w:r>
          </w:p>
          <w:p>
            <w:pPr>
              <w:ind w:firstLine="480" w:firstLineChars="200"/>
              <w:rPr>
                <w:rFonts w:asciiTheme="minorEastAsia" w:hAnsiTheme="minorEastAsia"/>
                <w:sz w:val="24"/>
              </w:rPr>
            </w:pPr>
            <w:r>
              <w:rPr>
                <w:rFonts w:hint="eastAsia" w:asciiTheme="minorEastAsia" w:hAnsiTheme="minorEastAsia"/>
                <w:kern w:val="0"/>
                <w:sz w:val="24"/>
              </w:rPr>
              <w:t>第四，遵循学科课程规律： 麻黄及麻黄汤是中药学、方剂学首先学习的方药，从医圣张仲景至现代临床，麻黄类方及所涉药物是中医药治疗呼吸系统疾病卓有成效的代表。麻黄汤类方中以麻黄为代表的现代研究成果颇丰，而待探究内容也十分广泛。麻黄是麻黄类方中疗效显著，但毒副作用也非常明显的药物。麻黄类方药虚拟仿真实验项目的建用符合中药学与方剂学教学特点，中医思维特征反映最为集中。</w:t>
            </w:r>
          </w:p>
          <w:p>
            <w:pPr>
              <w:pStyle w:val="10"/>
              <w:numPr>
                <w:ilvl w:val="0"/>
                <w:numId w:val="2"/>
              </w:numPr>
              <w:spacing w:before="156" w:beforeLines="50" w:after="156" w:afterLines="50"/>
              <w:ind w:firstLineChars="0"/>
              <w:jc w:val="left"/>
              <w:rPr>
                <w:rFonts w:asciiTheme="minorEastAsia" w:hAnsiTheme="minorEastAsia" w:eastAsiaTheme="minorEastAsia"/>
                <w:b/>
                <w:sz w:val="24"/>
              </w:rPr>
            </w:pPr>
            <w:r>
              <w:rPr>
                <w:rFonts w:hint="eastAsia" w:asciiTheme="minorEastAsia" w:hAnsiTheme="minorEastAsia" w:eastAsiaTheme="minorEastAsia"/>
                <w:b/>
                <w:sz w:val="24"/>
              </w:rPr>
              <w:t>实验原理及开发技术环境：</w:t>
            </w:r>
          </w:p>
          <w:p>
            <w:pPr>
              <w:ind w:firstLine="480" w:firstLineChars="200"/>
              <w:jc w:val="left"/>
              <w:rPr>
                <w:rFonts w:asciiTheme="minorEastAsia" w:hAnsiTheme="minorEastAsia"/>
                <w:sz w:val="24"/>
              </w:rPr>
            </w:pPr>
            <w:r>
              <w:rPr>
                <w:rFonts w:hint="eastAsia" w:asciiTheme="minorEastAsia" w:hAnsiTheme="minorEastAsia"/>
                <w:sz w:val="24"/>
              </w:rPr>
              <w:t>本实验开发环境采用：PC Inter(R) Core(TM) i5-4460 CPU @ 3.20GHz，Windows 7 64位操作系统，Unity3D 2018版本以上的专业虚拟仿真开发引擎进行互式框架设计；实验所需算法逻辑运用Visual Studio2017版本以上的专业平台进行编程开发；实验数据采用MySQL数据库进行数据管理。基于B/S架构开发，运用Html5 + CSS3 + WebGL技术实现线上互动教学，适应当前主流网络环境。</w:t>
            </w:r>
          </w:p>
          <w:p>
            <w:pPr>
              <w:pStyle w:val="10"/>
              <w:spacing w:after="0"/>
              <w:ind w:left="-2" w:leftChars="-1" w:firstLine="484" w:firstLineChars="202"/>
              <w:jc w:val="left"/>
              <w:rPr>
                <w:rFonts w:asciiTheme="minorEastAsia" w:hAnsiTheme="minorEastAsia" w:eastAsiaTheme="minorEastAsia"/>
                <w:sz w:val="24"/>
              </w:rPr>
            </w:pPr>
            <w:r>
              <w:rPr>
                <w:rFonts w:hint="eastAsia" w:asciiTheme="minorEastAsia" w:hAnsiTheme="minorEastAsia" w:eastAsiaTheme="minorEastAsia"/>
                <w:sz w:val="24"/>
              </w:rPr>
              <w:t>本实验前端运用3DMAX 2018版本以上专业虚拟仿真建模工具对实验所有模型进行相对精确的仿真设计，并根据遵循实际运动物理效果，与实际视觉感受，进行精细化贴图渲染。结合PhotoShop、Illustrator等专业平面UI设计软件进行UI逻辑编制。形成使操作学习者身临其境的浸入式实验感受。</w:t>
            </w:r>
          </w:p>
          <w:p>
            <w:pPr>
              <w:pStyle w:val="10"/>
              <w:numPr>
                <w:ilvl w:val="0"/>
                <w:numId w:val="2"/>
              </w:numPr>
              <w:spacing w:before="156" w:beforeLines="50" w:after="156" w:afterLines="50"/>
              <w:ind w:firstLineChars="0"/>
              <w:jc w:val="left"/>
              <w:rPr>
                <w:rFonts w:asciiTheme="minorEastAsia" w:hAnsiTheme="minorEastAsia" w:eastAsiaTheme="minorEastAsia"/>
                <w:b/>
                <w:sz w:val="24"/>
              </w:rPr>
            </w:pPr>
            <w:r>
              <w:rPr>
                <w:rFonts w:hint="eastAsia" w:asciiTheme="minorEastAsia" w:hAnsiTheme="minorEastAsia" w:eastAsiaTheme="minorEastAsia"/>
                <w:b/>
                <w:sz w:val="24"/>
              </w:rPr>
              <w:t>实验环境要求：</w:t>
            </w:r>
          </w:p>
          <w:p>
            <w:pPr>
              <w:ind w:firstLine="480" w:firstLineChars="200"/>
              <w:jc w:val="left"/>
              <w:rPr>
                <w:rFonts w:asciiTheme="minorEastAsia" w:hAnsiTheme="minorEastAsia"/>
                <w:sz w:val="24"/>
              </w:rPr>
            </w:pPr>
            <w:r>
              <w:rPr>
                <w:rFonts w:hint="eastAsia" w:asciiTheme="minorEastAsia" w:hAnsiTheme="minorEastAsia"/>
                <w:sz w:val="24"/>
              </w:rPr>
              <w:t>硬件环境：计算机(独立显卡， 4G显存，主频4核、内存8GB、存储容量500GB)网络（客户端到服务器的网络带宽&gt;50MB以上）。</w:t>
            </w:r>
          </w:p>
          <w:p>
            <w:pPr>
              <w:ind w:firstLine="480" w:firstLineChars="200"/>
              <w:jc w:val="left"/>
              <w:rPr>
                <w:rFonts w:asciiTheme="minorEastAsia" w:hAnsiTheme="minorEastAsia"/>
                <w:sz w:val="24"/>
              </w:rPr>
            </w:pPr>
            <w:r>
              <w:rPr>
                <w:rFonts w:hint="eastAsia" w:asciiTheme="minorEastAsia" w:hAnsiTheme="minorEastAsia"/>
                <w:sz w:val="24"/>
              </w:rPr>
              <w:t>软件要求：IE11及以上浏览器，GoogleChrome浏览器，FireFox火狐浏览器等国内国际主流知名浏览器均可兼容。</w:t>
            </w:r>
          </w:p>
          <w:p>
            <w:pPr>
              <w:pStyle w:val="10"/>
              <w:numPr>
                <w:ilvl w:val="0"/>
                <w:numId w:val="2"/>
              </w:numPr>
              <w:spacing w:before="156" w:beforeLines="50" w:after="156" w:afterLines="50"/>
              <w:ind w:firstLineChars="0"/>
              <w:jc w:val="left"/>
              <w:rPr>
                <w:rFonts w:asciiTheme="minorEastAsia" w:hAnsiTheme="minorEastAsia" w:eastAsiaTheme="minorEastAsia"/>
                <w:b/>
                <w:sz w:val="24"/>
              </w:rPr>
            </w:pPr>
            <w:r>
              <w:rPr>
                <w:rFonts w:hint="eastAsia" w:asciiTheme="minorEastAsia" w:hAnsiTheme="minorEastAsia" w:eastAsiaTheme="minorEastAsia"/>
                <w:b/>
                <w:sz w:val="24"/>
              </w:rPr>
              <w:t>实验模块与步骤：</w:t>
            </w:r>
          </w:p>
          <w:p>
            <w:pPr>
              <w:pStyle w:val="4"/>
              <w:shd w:val="clear" w:color="auto" w:fill="FFFFFF"/>
              <w:spacing w:before="0" w:beforeAutospacing="0" w:after="0" w:afterAutospacing="0"/>
              <w:ind w:firstLine="422"/>
              <w:rPr>
                <w:rFonts w:asciiTheme="minorEastAsia" w:hAnsiTheme="minorEastAsia"/>
                <w:b/>
              </w:rPr>
            </w:pPr>
            <w:r>
              <w:rPr>
                <w:rFonts w:hint="eastAsia" w:asciiTheme="minorEastAsia" w:hAnsiTheme="minorEastAsia"/>
                <w:b/>
              </w:rPr>
              <w:t>本项目设计了8大模块、共30多个实验操作步骤。</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模块一：实验简介；</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模块二：实验预习；</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模块三：麻黄类方应用；</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模块四：麻黄不良反应分析；</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模块五：麻黄功效探究；</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模块六：实验报告；</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模块七：实验帮助；</w:t>
            </w:r>
          </w:p>
          <w:p>
            <w:pPr>
              <w:pStyle w:val="10"/>
              <w:numPr>
                <w:ilvl w:val="0"/>
                <w:numId w:val="3"/>
              </w:numPr>
              <w:spacing w:after="0"/>
              <w:ind w:hanging="21" w:firstLineChars="0"/>
              <w:rPr>
                <w:rFonts w:asciiTheme="minorEastAsia" w:hAnsiTheme="minorEastAsia"/>
                <w:b/>
                <w:sz w:val="24"/>
              </w:rPr>
            </w:pPr>
            <w:r>
              <w:rPr>
                <w:rFonts w:hint="eastAsia" w:asciiTheme="minorEastAsia" w:hAnsiTheme="minorEastAsia"/>
                <w:b/>
                <w:sz w:val="24"/>
              </w:rPr>
              <w:t>模块八：学习交流；</w:t>
            </w:r>
          </w:p>
          <w:p>
            <w:pPr>
              <w:ind w:firstLine="480" w:firstLineChars="200"/>
              <w:jc w:val="left"/>
              <w:rPr>
                <w:rFonts w:asciiTheme="minorEastAsia" w:hAnsiTheme="minorEastAsia"/>
                <w:sz w:val="24"/>
              </w:rPr>
            </w:pPr>
            <w:r>
              <w:rPr>
                <w:rFonts w:hint="eastAsia" w:asciiTheme="minorEastAsia" w:hAnsiTheme="minorEastAsia"/>
                <w:sz w:val="24"/>
              </w:rPr>
              <w:t>学生通过账号密码登录进入系统后，通过学习知识导航内容，了解桩基的基本知识以及抗压静载的实验原理。通过实景学习模块的视频、动画等交互体验方式学习，进一步加深知识理解掌握。进入虚拟仿真实验操作，并完成实验，系统会将其自动生成实验报告及评分，供学生及教师查阅，并导出备档。</w:t>
            </w:r>
          </w:p>
          <w:p>
            <w:pPr>
              <w:rPr>
                <w:rFonts w:asciiTheme="minorEastAsia" w:hAnsiTheme="minorEastAsia"/>
                <w:sz w:val="24"/>
              </w:rPr>
            </w:pPr>
            <w:r>
              <w:rPr>
                <w:rFonts w:hint="eastAsia" w:asciiTheme="minorEastAsia" w:hAnsiTheme="minorEastAsia"/>
                <w:sz w:val="24"/>
              </w:rPr>
              <w:t>实验结构逻辑拓扑图：</w:t>
            </w:r>
          </w:p>
          <w:p>
            <w:pPr>
              <w:rPr>
                <w:rFonts w:ascii="宋体" w:hAnsi="宋体"/>
              </w:rPr>
            </w:pPr>
            <w:r>
              <w:rPr>
                <w:rFonts w:ascii="仿宋" w:hAnsi="仿宋" w:eastAsia="仿宋" w:cs="仿宋"/>
                <w:sz w:val="24"/>
              </w:rPr>
              <w:drawing>
                <wp:inline distT="0" distB="0" distL="0" distR="0">
                  <wp:extent cx="5124450" cy="3924300"/>
                  <wp:effectExtent l="0" t="0" r="0" b="0"/>
                  <wp:docPr id="1" name="图片 1" descr="156662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662876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24450" cy="3924300"/>
                          </a:xfrm>
                          <a:prstGeom prst="rect">
                            <a:avLst/>
                          </a:prstGeom>
                          <a:noFill/>
                          <a:ln>
                            <a:noFill/>
                          </a:ln>
                        </pic:spPr>
                      </pic:pic>
                    </a:graphicData>
                  </a:graphic>
                </wp:inline>
              </w:drawing>
            </w:r>
            <w:r>
              <w:rPr>
                <w:rFonts w:hint="eastAsia" w:ascii="宋体" w:hAnsi="宋体"/>
              </w:rPr>
              <w:br w:type="page"/>
            </w:r>
          </w:p>
          <w:p>
            <w:pPr>
              <w:pStyle w:val="10"/>
              <w:numPr>
                <w:ilvl w:val="0"/>
                <w:numId w:val="2"/>
              </w:numPr>
              <w:spacing w:before="156" w:beforeLines="50" w:after="156" w:afterLines="50"/>
              <w:ind w:firstLineChars="0"/>
              <w:jc w:val="left"/>
              <w:rPr>
                <w:rFonts w:asciiTheme="minorEastAsia" w:hAnsiTheme="minorEastAsia" w:eastAsiaTheme="minorEastAsia"/>
                <w:b/>
                <w:sz w:val="24"/>
              </w:rPr>
            </w:pPr>
            <w:r>
              <w:rPr>
                <w:rFonts w:hint="eastAsia" w:asciiTheme="minorEastAsia" w:hAnsiTheme="minorEastAsia" w:eastAsiaTheme="minorEastAsia"/>
                <w:b/>
                <w:sz w:val="24"/>
              </w:rPr>
              <w:t>实验技术指标要求：</w:t>
            </w:r>
          </w:p>
          <w:p>
            <w:pPr>
              <w:widowControl/>
              <w:ind w:left="424" w:leftChars="202"/>
              <w:jc w:val="left"/>
              <w:rPr>
                <w:rFonts w:cs="宋体"/>
                <w:b/>
                <w:bCs/>
                <w:kern w:val="0"/>
                <w:sz w:val="24"/>
              </w:rPr>
            </w:pPr>
            <w:r>
              <w:rPr>
                <w:rFonts w:hint="eastAsia" w:cs="宋体"/>
                <w:b/>
                <w:bCs/>
                <w:kern w:val="0"/>
                <w:sz w:val="24"/>
              </w:rPr>
              <w:t>★</w:t>
            </w:r>
            <w:r>
              <w:rPr>
                <w:rFonts w:cs="宋体"/>
                <w:b/>
                <w:bCs/>
                <w:kern w:val="0"/>
                <w:sz w:val="24"/>
              </w:rPr>
              <w:t xml:space="preserve"> </w:t>
            </w:r>
            <w:r>
              <w:rPr>
                <w:rFonts w:hint="eastAsia" w:asciiTheme="minorEastAsia" w:hAnsiTheme="minorEastAsia"/>
                <w:b/>
                <w:sz w:val="24"/>
              </w:rPr>
              <w:t>实景学习模块</w:t>
            </w:r>
            <w:r>
              <w:rPr>
                <w:rFonts w:hint="eastAsia" w:cs="宋体"/>
                <w:b/>
                <w:bCs/>
                <w:kern w:val="0"/>
                <w:sz w:val="24"/>
              </w:rPr>
              <w:t>仿真操作：</w:t>
            </w:r>
          </w:p>
          <w:p>
            <w:pPr>
              <w:widowControl/>
              <w:ind w:firstLine="480" w:firstLineChars="200"/>
              <w:jc w:val="left"/>
              <w:rPr>
                <w:rFonts w:cs="宋体"/>
                <w:kern w:val="0"/>
                <w:sz w:val="24"/>
              </w:rPr>
            </w:pPr>
            <w:r>
              <w:rPr>
                <w:rFonts w:hint="eastAsia" w:cs="宋体"/>
                <w:kern w:val="0"/>
                <w:sz w:val="24"/>
              </w:rPr>
              <w:t>通过人机交互、虚拟现实和物联网通信技术，构建仿真虚拟环境和对象，重现临床识证选方、遣药制方的场景。学生在虚拟场景中实施理法方药的全过程，在此过程中学生必需不断进行“辨证</w:t>
            </w:r>
            <w:r>
              <w:rPr>
                <w:rFonts w:cs="宋体"/>
                <w:kern w:val="0"/>
                <w:sz w:val="24"/>
              </w:rPr>
              <w:t>-</w:t>
            </w:r>
            <w:r>
              <w:rPr>
                <w:rFonts w:hint="eastAsia" w:cs="宋体"/>
                <w:kern w:val="0"/>
                <w:sz w:val="24"/>
              </w:rPr>
              <w:t>治法</w:t>
            </w:r>
            <w:r>
              <w:rPr>
                <w:rFonts w:cs="宋体"/>
                <w:kern w:val="0"/>
                <w:sz w:val="24"/>
              </w:rPr>
              <w:t>-</w:t>
            </w:r>
            <w:r>
              <w:rPr>
                <w:rFonts w:hint="eastAsia" w:cs="宋体"/>
                <w:kern w:val="0"/>
                <w:sz w:val="24"/>
              </w:rPr>
              <w:t>方剂选择</w:t>
            </w:r>
            <w:r>
              <w:rPr>
                <w:rFonts w:cs="宋体"/>
                <w:kern w:val="0"/>
                <w:sz w:val="24"/>
              </w:rPr>
              <w:t>-</w:t>
            </w:r>
            <w:r>
              <w:rPr>
                <w:rFonts w:hint="eastAsia" w:cs="宋体"/>
                <w:kern w:val="0"/>
                <w:sz w:val="24"/>
              </w:rPr>
              <w:t>配伍</w:t>
            </w:r>
            <w:r>
              <w:rPr>
                <w:rFonts w:cs="宋体"/>
                <w:kern w:val="0"/>
                <w:sz w:val="24"/>
              </w:rPr>
              <w:t>-</w:t>
            </w:r>
            <w:r>
              <w:rPr>
                <w:rFonts w:hint="eastAsia" w:cs="宋体"/>
                <w:kern w:val="0"/>
                <w:sz w:val="24"/>
              </w:rPr>
              <w:t>选药”的流程操作。理解或掌握在正确四诊辨证基础上，训练培养“高效、安全、合理”遣药组方的中医思维及临床能力。</w:t>
            </w:r>
          </w:p>
          <w:p>
            <w:pPr>
              <w:widowControl/>
              <w:ind w:left="424" w:leftChars="202"/>
              <w:jc w:val="left"/>
              <w:rPr>
                <w:rFonts w:cs="宋体"/>
                <w:b/>
                <w:bCs/>
                <w:kern w:val="0"/>
                <w:sz w:val="24"/>
              </w:rPr>
            </w:pPr>
            <w:r>
              <w:rPr>
                <w:rFonts w:hint="eastAsia" w:cs="宋体"/>
                <w:b/>
                <w:bCs/>
                <w:kern w:val="0"/>
                <w:sz w:val="24"/>
              </w:rPr>
              <w:t>★基于一定挑战高度的探究性实训渗透：</w:t>
            </w:r>
          </w:p>
          <w:p>
            <w:pPr>
              <w:widowControl/>
              <w:ind w:firstLine="480" w:firstLineChars="200"/>
              <w:jc w:val="left"/>
              <w:rPr>
                <w:rFonts w:cs="宋体"/>
                <w:kern w:val="0"/>
                <w:sz w:val="24"/>
              </w:rPr>
            </w:pPr>
            <w:r>
              <w:rPr>
                <w:rFonts w:hint="eastAsia" w:cs="宋体"/>
                <w:kern w:val="0"/>
                <w:sz w:val="24"/>
              </w:rPr>
              <w:t>实训并不是简单的课程知识再现，本项目中参入了部分高阶性、复合性强的内容，体现中医与中药、经典与现代、基础与临床的融合，如基于现代最新研究成果的疑难病案的方药优选及机制探讨，要求训练者以问题为导向的文献查寻、合作学习、不断探寻，从而真正体现通过实训，综合能力得以提高的目的。。</w:t>
            </w:r>
          </w:p>
          <w:p>
            <w:pPr>
              <w:widowControl/>
              <w:ind w:left="424" w:leftChars="202"/>
              <w:jc w:val="left"/>
              <w:rPr>
                <w:rFonts w:cs="宋体"/>
                <w:b/>
                <w:bCs/>
                <w:kern w:val="0"/>
                <w:sz w:val="24"/>
              </w:rPr>
            </w:pPr>
            <w:r>
              <w:rPr>
                <w:rFonts w:hint="eastAsia" w:cs="宋体"/>
                <w:b/>
                <w:bCs/>
                <w:kern w:val="0"/>
                <w:sz w:val="24"/>
              </w:rPr>
              <w:t>★实验反馈模块：</w:t>
            </w:r>
          </w:p>
          <w:p>
            <w:pPr>
              <w:widowControl/>
              <w:ind w:firstLine="480" w:firstLineChars="200"/>
              <w:jc w:val="left"/>
              <w:rPr>
                <w:rFonts w:ascii="宋体" w:hAnsi="宋体"/>
              </w:rPr>
            </w:pPr>
            <w:r>
              <w:rPr>
                <w:rFonts w:hint="eastAsia" w:cs="宋体"/>
                <w:kern w:val="0"/>
                <w:sz w:val="24"/>
              </w:rPr>
              <w:t>在学生完成仿真操作模拟实验之后，结合实验全过程进行综合的实验反馈，系统通过记录实验过程中的各个关键节点的数据，真实有效的记录在实验反馈的页面中，并根据当前实验的成绩判定是否合格，如果学生顺利通过实验考核，则给予颁发合格证书，如果实验成绩不合格，则可以重复进行实验。</w:t>
            </w:r>
          </w:p>
          <w:p>
            <w:pPr>
              <w:widowControl/>
              <w:jc w:val="left"/>
              <w:rPr>
                <w:rFonts w:asciiTheme="minorEastAsia" w:hAnsiTheme="minorEastAsia"/>
              </w:rPr>
            </w:pPr>
          </w:p>
          <w:p>
            <w:pPr>
              <w:ind w:left="479" w:leftChars="228"/>
              <w:rPr>
                <w:rFonts w:asciiTheme="minorEastAsia" w:hAnsiTheme="minorEastAsia"/>
                <w:b/>
                <w:sz w:val="24"/>
              </w:rPr>
            </w:pPr>
            <w:r>
              <w:rPr>
                <w:rFonts w:hint="eastAsia" w:asciiTheme="minorEastAsia" w:hAnsiTheme="minorEastAsia"/>
                <w:b/>
                <w:sz w:val="24"/>
              </w:rPr>
              <w:t>其他要求：</w:t>
            </w:r>
          </w:p>
          <w:p>
            <w:pPr>
              <w:autoSpaceDE w:val="0"/>
              <w:autoSpaceDN w:val="0"/>
              <w:adjustRightInd w:val="0"/>
              <w:ind w:firstLine="480" w:firstLineChars="200"/>
              <w:rPr>
                <w:rFonts w:asciiTheme="minorEastAsia" w:hAnsiTheme="minorEastAsia"/>
                <w:sz w:val="24"/>
              </w:rPr>
            </w:pPr>
            <w:r>
              <w:rPr>
                <w:rFonts w:hint="eastAsia" w:asciiTheme="minorEastAsia" w:hAnsiTheme="minorEastAsia"/>
                <w:sz w:val="24"/>
              </w:rPr>
              <w:t>实验场景内的全部模型需要采用法线贴图来描绘物体表面细节、使用颜色贴图表现物体的颜色和纹理、从而在自然光线照射条件下体现出的场景元素的质感。</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系统提供操作帮助，言简意赅描述实验如何开展；</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系统画面效果精美，建模对象表面质感精细，光影效果逼真，采用虚拟现实实时渲染处理；</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系统交互性良好，用户可以轻松自如地开展实验；</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系统经过优化处理，确保实时运行帧数高于20帧/秒，保证操作运行刷新的流畅，人脑教育干预过程模拟保持运行流畅；</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场景内包含：各种类型的人物、人物动态、人物场景交互等。</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实验交互方式：键盘、鼠标；</w:t>
            </w:r>
          </w:p>
          <w:p>
            <w:pPr>
              <w:pStyle w:val="10"/>
              <w:numPr>
                <w:ilvl w:val="0"/>
                <w:numId w:val="4"/>
              </w:numPr>
              <w:autoSpaceDE w:val="0"/>
              <w:autoSpaceDN w:val="0"/>
              <w:adjustRightInd w:val="0"/>
              <w:spacing w:after="0"/>
              <w:ind w:left="0" w:firstLine="0" w:firstLineChars="0"/>
              <w:rPr>
                <w:rFonts w:cs="宋体" w:asciiTheme="minorHAnsi" w:hAnsiTheme="minorHAnsi" w:eastAsiaTheme="minorEastAsia"/>
                <w:kern w:val="0"/>
                <w:sz w:val="24"/>
                <w:szCs w:val="22"/>
              </w:rPr>
            </w:pPr>
            <w:r>
              <w:rPr>
                <w:rFonts w:hint="eastAsia" w:cs="宋体" w:asciiTheme="minorHAnsi" w:hAnsiTheme="minorHAnsi" w:eastAsiaTheme="minorEastAsia"/>
                <w:kern w:val="0"/>
                <w:sz w:val="24"/>
                <w:szCs w:val="22"/>
              </w:rPr>
              <w:t>实验虚拟操作实现度：可以任意旋转场景视角；</w:t>
            </w:r>
          </w:p>
          <w:p>
            <w:pPr>
              <w:autoSpaceDE w:val="0"/>
              <w:autoSpaceDN w:val="0"/>
              <w:adjustRightInd w:val="0"/>
              <w:rPr>
                <w:rFonts w:asciiTheme="minorEastAsia" w:hAnsiTheme="minorEastAsia"/>
                <w:sz w:val="24"/>
              </w:rPr>
            </w:pPr>
          </w:p>
          <w:p>
            <w:pPr>
              <w:rPr>
                <w:b/>
                <w:color w:val="000000"/>
                <w:sz w:val="24"/>
              </w:rPr>
            </w:pPr>
            <w:r>
              <w:rPr>
                <w:rFonts w:hint="eastAsia"/>
                <w:b/>
                <w:color w:val="000000"/>
                <w:sz w:val="24"/>
              </w:rPr>
              <w:t>三、供应商资质要求</w:t>
            </w:r>
          </w:p>
          <w:p>
            <w:pPr>
              <w:numPr>
                <w:ilvl w:val="0"/>
                <w:numId w:val="5"/>
              </w:numPr>
              <w:spacing w:line="360" w:lineRule="auto"/>
              <w:rPr>
                <w:rFonts w:ascii="宋体" w:hAnsi="宋体" w:cs="宋体"/>
                <w:kern w:val="0"/>
                <w:sz w:val="24"/>
              </w:rPr>
            </w:pPr>
            <w:r>
              <w:rPr>
                <w:rFonts w:hint="eastAsia" w:ascii="宋体" w:hAnsi="宋体" w:cs="宋体"/>
                <w:kern w:val="0"/>
                <w:sz w:val="24"/>
              </w:rPr>
              <w:t>供应商须具有计算机软件企业资质证书。</w:t>
            </w:r>
          </w:p>
          <w:p>
            <w:pPr>
              <w:numPr>
                <w:ilvl w:val="0"/>
                <w:numId w:val="5"/>
              </w:numPr>
              <w:spacing w:line="360" w:lineRule="auto"/>
              <w:rPr>
                <w:rFonts w:ascii="宋体" w:hAnsi="宋体" w:cs="宋体"/>
                <w:kern w:val="0"/>
                <w:sz w:val="24"/>
              </w:rPr>
            </w:pPr>
            <w:r>
              <w:rPr>
                <w:rFonts w:hint="eastAsia" w:ascii="宋体" w:hAnsi="宋体" w:cs="宋体"/>
                <w:kern w:val="0"/>
                <w:sz w:val="24"/>
              </w:rPr>
              <w:t>供应商注册地须在江苏省或在江苏省设有分公司，能够长期及时迅速提供本地化服务。</w:t>
            </w:r>
          </w:p>
          <w:p>
            <w:pPr>
              <w:numPr>
                <w:ilvl w:val="0"/>
                <w:numId w:val="5"/>
              </w:numPr>
              <w:spacing w:line="360" w:lineRule="auto"/>
              <w:rPr>
                <w:rFonts w:ascii="宋体" w:hAnsi="宋体" w:cs="宋体"/>
                <w:kern w:val="0"/>
                <w:sz w:val="24"/>
              </w:rPr>
            </w:pPr>
            <w:r>
              <w:rPr>
                <w:rFonts w:hint="eastAsia" w:ascii="宋体" w:hAnsi="宋体" w:cs="宋体"/>
                <w:kern w:val="0"/>
                <w:sz w:val="24"/>
              </w:rPr>
              <w:t>★供应商具有国家虚拟仿真实验教学项目成功案例。</w:t>
            </w:r>
          </w:p>
          <w:p>
            <w:pPr>
              <w:numPr>
                <w:ilvl w:val="0"/>
                <w:numId w:val="5"/>
              </w:numPr>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免费提供</w:t>
            </w:r>
            <w:r>
              <w:rPr>
                <w:rFonts w:hint="eastAsia" w:ascii="宋体" w:hAnsi="宋体" w:cs="宋体"/>
                <w:kern w:val="0"/>
                <w:sz w:val="24"/>
              </w:rPr>
              <w:t>三</w:t>
            </w:r>
            <w:r>
              <w:rPr>
                <w:rFonts w:ascii="宋体" w:hAnsi="宋体" w:cs="宋体"/>
                <w:kern w:val="0"/>
                <w:sz w:val="24"/>
              </w:rPr>
              <w:t>年</w:t>
            </w:r>
            <w:r>
              <w:rPr>
                <w:rFonts w:hint="eastAsia" w:ascii="宋体" w:hAnsi="宋体" w:cs="宋体"/>
                <w:kern w:val="0"/>
                <w:sz w:val="24"/>
              </w:rPr>
              <w:t>技术服务</w:t>
            </w:r>
            <w:r>
              <w:rPr>
                <w:rFonts w:ascii="宋体" w:hAnsi="宋体" w:cs="宋体"/>
                <w:kern w:val="0"/>
                <w:sz w:val="24"/>
              </w:rPr>
              <w:t>，在此免费维护期内，提供免费的升级</w:t>
            </w:r>
            <w:r>
              <w:rPr>
                <w:rFonts w:hint="eastAsia" w:ascii="宋体" w:hAnsi="宋体" w:cs="宋体"/>
                <w:kern w:val="0"/>
                <w:sz w:val="24"/>
              </w:rPr>
              <w:t>更新</w:t>
            </w:r>
            <w:r>
              <w:rPr>
                <w:rFonts w:ascii="宋体" w:hAnsi="宋体" w:cs="宋体"/>
                <w:kern w:val="0"/>
                <w:sz w:val="24"/>
              </w:rPr>
              <w:t>服务，并负责</w:t>
            </w:r>
            <w:r>
              <w:rPr>
                <w:rFonts w:hint="eastAsia" w:ascii="宋体" w:hAnsi="宋体" w:cs="宋体"/>
                <w:kern w:val="0"/>
                <w:sz w:val="24"/>
              </w:rPr>
              <w:t>后续</w:t>
            </w:r>
            <w:r>
              <w:rPr>
                <w:rFonts w:ascii="宋体" w:hAnsi="宋体" w:cs="宋体"/>
                <w:kern w:val="0"/>
                <w:sz w:val="24"/>
              </w:rPr>
              <w:t>维护、维修和故障排除等技术工作。</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w:t>
            </w:r>
          </w:p>
        </w:tc>
      </w:tr>
    </w:tbl>
    <w:p>
      <w:pPr>
        <w:ind w:left="242" w:leftChars="-1" w:hanging="244" w:hangingChars="136"/>
        <w:rPr>
          <w:rFonts w:ascii="宋体" w:hAnsi="宋体" w:eastAsia="宋体"/>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0270"/>
    <w:multiLevelType w:val="multilevel"/>
    <w:tmpl w:val="2159027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2F2015AA"/>
    <w:multiLevelType w:val="multilevel"/>
    <w:tmpl w:val="2F2015AA"/>
    <w:lvl w:ilvl="0" w:tentative="0">
      <w:start w:val="1"/>
      <w:numFmt w:val="chineseCountingThousand"/>
      <w:lvlText w:val="(%1)"/>
      <w:lvlJc w:val="left"/>
      <w:pPr>
        <w:ind w:left="420" w:hanging="420"/>
      </w:pPr>
    </w:lvl>
    <w:lvl w:ilvl="1" w:tentative="0">
      <w:start w:val="1"/>
      <w:numFmt w:val="decimal"/>
      <w:lvlText w:val="（%2）"/>
      <w:lvlJc w:val="left"/>
      <w:pPr>
        <w:ind w:left="1170" w:hanging="7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7E4C2A"/>
    <w:multiLevelType w:val="multilevel"/>
    <w:tmpl w:val="6D7E4C2A"/>
    <w:lvl w:ilvl="0" w:tentative="0">
      <w:start w:val="1"/>
      <w:numFmt w:val="decimal"/>
      <w:lvlText w:val="(%1)"/>
      <w:lvlJc w:val="left"/>
      <w:pPr>
        <w:ind w:left="786" w:hanging="360"/>
      </w:pPr>
      <w:rPr>
        <w:rFonts w:hint="default" w:cs="Times New Roman"/>
        <w:b w:val="0"/>
        <w:i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DCE25EB"/>
    <w:multiLevelType w:val="multilevel"/>
    <w:tmpl w:val="7DCE25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93C72"/>
    <w:rsid w:val="002416D3"/>
    <w:rsid w:val="003372BD"/>
    <w:rsid w:val="004304E6"/>
    <w:rsid w:val="00472EC4"/>
    <w:rsid w:val="007B60DF"/>
    <w:rsid w:val="007C0E4C"/>
    <w:rsid w:val="0085369C"/>
    <w:rsid w:val="009917FC"/>
    <w:rsid w:val="009C3B8E"/>
    <w:rsid w:val="00A404FF"/>
    <w:rsid w:val="00DC716D"/>
    <w:rsid w:val="00F06A8F"/>
    <w:rsid w:val="4E14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360" w:lineRule="auto"/>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spacing w:after="120" w:line="360" w:lineRule="auto"/>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南京中医药大学</Company>
  <Pages>6</Pages>
  <Words>433</Words>
  <Characters>2469</Characters>
  <Lines>20</Lines>
  <Paragraphs>5</Paragraphs>
  <TotalTime>7</TotalTime>
  <ScaleCrop>false</ScaleCrop>
  <LinksUpToDate>false</LinksUpToDate>
  <CharactersWithSpaces>2897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dcterms:modified xsi:type="dcterms:W3CDTF">2019-11-07T09:00:45Z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