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95E9B" w14:textId="77777777" w:rsidR="00A82C5A" w:rsidRDefault="00A82C5A">
      <w:pPr>
        <w:jc w:val="center"/>
        <w:rPr>
          <w:rFonts w:ascii="宋体" w:eastAsia="宋体" w:hAnsi="宋体"/>
          <w:sz w:val="32"/>
          <w:szCs w:val="32"/>
        </w:rPr>
      </w:pPr>
    </w:p>
    <w:p w14:paraId="46CF5619" w14:textId="77777777" w:rsidR="00A82C5A" w:rsidRDefault="00963B7D">
      <w:pPr>
        <w:jc w:val="center"/>
        <w:rPr>
          <w:rFonts w:ascii="宋体" w:eastAsia="宋体" w:hAnsi="宋体"/>
          <w:sz w:val="32"/>
          <w:szCs w:val="32"/>
        </w:rPr>
      </w:pPr>
      <w:r>
        <w:rPr>
          <w:rFonts w:ascii="宋体" w:eastAsia="宋体" w:hAnsi="宋体" w:hint="eastAsia"/>
          <w:sz w:val="32"/>
          <w:szCs w:val="32"/>
        </w:rPr>
        <w:t>仪器设备购置技术参数要求确认单</w:t>
      </w:r>
    </w:p>
    <w:tbl>
      <w:tblPr>
        <w:tblW w:w="0" w:type="auto"/>
        <w:tblCellMar>
          <w:left w:w="10" w:type="dxa"/>
          <w:right w:w="10" w:type="dxa"/>
        </w:tblCellMar>
        <w:tblLook w:val="04A0" w:firstRow="1" w:lastRow="0" w:firstColumn="1" w:lastColumn="0" w:noHBand="0" w:noVBand="1"/>
      </w:tblPr>
      <w:tblGrid>
        <w:gridCol w:w="1769"/>
        <w:gridCol w:w="772"/>
        <w:gridCol w:w="1331"/>
        <w:gridCol w:w="1553"/>
        <w:gridCol w:w="2655"/>
      </w:tblGrid>
      <w:tr w:rsidR="00A82C5A" w14:paraId="42BC2E49" w14:textId="77777777" w:rsidTr="00963B7D">
        <w:trPr>
          <w:trHeight w:val="1143"/>
        </w:trPr>
        <w:tc>
          <w:tcPr>
            <w:tcW w:w="1769" w:type="dxa"/>
          </w:tcPr>
          <w:p w14:paraId="1B26C53E" w14:textId="77777777" w:rsidR="00A82C5A" w:rsidRDefault="00963B7D">
            <w:pPr>
              <w:rPr>
                <w:rFonts w:ascii="宋体" w:eastAsia="宋体" w:hAnsi="宋体"/>
                <w:sz w:val="28"/>
                <w:szCs w:val="28"/>
              </w:rPr>
            </w:pPr>
            <w:r>
              <w:rPr>
                <w:rFonts w:ascii="宋体" w:eastAsia="宋体" w:hAnsi="宋体" w:hint="eastAsia"/>
                <w:sz w:val="28"/>
                <w:szCs w:val="28"/>
              </w:rPr>
              <w:t>产品名称</w:t>
            </w:r>
          </w:p>
        </w:tc>
        <w:tc>
          <w:tcPr>
            <w:tcW w:w="2103" w:type="dxa"/>
            <w:gridSpan w:val="2"/>
            <w:vAlign w:val="center"/>
          </w:tcPr>
          <w:p w14:paraId="39698BEE" w14:textId="77777777" w:rsidR="00A82C5A" w:rsidRDefault="00963B7D">
            <w:pPr>
              <w:widowControl/>
              <w:jc w:val="center"/>
              <w:rPr>
                <w:rFonts w:ascii="宋体" w:eastAsia="宋体" w:hAnsi="宋体"/>
                <w:sz w:val="28"/>
                <w:szCs w:val="28"/>
              </w:rPr>
            </w:pPr>
            <w:r>
              <w:rPr>
                <w:rFonts w:ascii="黑体" w:eastAsia="黑体" w:hAnsi="宋体" w:cs="黑体"/>
                <w:color w:val="000000"/>
                <w:kern w:val="0"/>
                <w:sz w:val="24"/>
                <w:szCs w:val="24"/>
                <w:lang w:bidi="ar"/>
              </w:rPr>
              <w:t>苏薄荷生长预测虚拟仿真实验</w:t>
            </w:r>
          </w:p>
        </w:tc>
        <w:tc>
          <w:tcPr>
            <w:tcW w:w="1553" w:type="dxa"/>
          </w:tcPr>
          <w:p w14:paraId="2129E9FA" w14:textId="644B8782" w:rsidR="00A82C5A" w:rsidRDefault="00963B7D" w:rsidP="00E15DC2">
            <w:pPr>
              <w:ind w:firstLineChars="100" w:firstLine="280"/>
              <w:rPr>
                <w:rFonts w:ascii="宋体" w:eastAsia="宋体" w:hAnsi="宋体"/>
                <w:sz w:val="28"/>
                <w:szCs w:val="28"/>
              </w:rPr>
            </w:pPr>
            <w:r>
              <w:rPr>
                <w:rFonts w:ascii="宋体" w:eastAsia="宋体" w:hAnsi="宋体" w:hint="eastAsia"/>
                <w:sz w:val="28"/>
                <w:szCs w:val="28"/>
              </w:rPr>
              <w:t xml:space="preserve"> </w:t>
            </w:r>
          </w:p>
        </w:tc>
        <w:tc>
          <w:tcPr>
            <w:tcW w:w="2655" w:type="dxa"/>
          </w:tcPr>
          <w:p w14:paraId="6001DE5B" w14:textId="73711DC6" w:rsidR="00160770" w:rsidRPr="00160770" w:rsidRDefault="00963B7D" w:rsidP="00160770">
            <w:pPr>
              <w:pStyle w:val="4"/>
            </w:pPr>
            <w:r>
              <w:rPr>
                <w:rFonts w:hint="eastAsia"/>
              </w:rPr>
              <w:t xml:space="preserve"> </w:t>
            </w:r>
          </w:p>
        </w:tc>
      </w:tr>
      <w:tr w:rsidR="00A82C5A" w14:paraId="6A34E5B6" w14:textId="77777777" w:rsidTr="00963B7D">
        <w:trPr>
          <w:trHeight w:val="572"/>
        </w:trPr>
        <w:tc>
          <w:tcPr>
            <w:tcW w:w="1769" w:type="dxa"/>
          </w:tcPr>
          <w:p w14:paraId="48488F92" w14:textId="51A7D0A8" w:rsidR="00A82C5A" w:rsidRDefault="00963B7D">
            <w:pPr>
              <w:rPr>
                <w:rFonts w:ascii="宋体" w:eastAsia="宋体" w:hAnsi="宋体"/>
                <w:sz w:val="28"/>
                <w:szCs w:val="28"/>
              </w:rPr>
            </w:pPr>
            <w:r>
              <w:rPr>
                <w:rFonts w:ascii="宋体" w:eastAsia="宋体" w:hAnsi="宋体" w:hint="eastAsia"/>
                <w:sz w:val="28"/>
                <w:szCs w:val="28"/>
              </w:rPr>
              <w:t xml:space="preserve"> </w:t>
            </w:r>
          </w:p>
        </w:tc>
        <w:tc>
          <w:tcPr>
            <w:tcW w:w="2103" w:type="dxa"/>
            <w:gridSpan w:val="2"/>
          </w:tcPr>
          <w:p w14:paraId="22B8A0D8" w14:textId="4609715C" w:rsidR="00A82C5A" w:rsidRDefault="00963B7D">
            <w:pPr>
              <w:jc w:val="center"/>
              <w:rPr>
                <w:rFonts w:ascii="宋体" w:eastAsia="宋体" w:hAnsi="宋体"/>
                <w:sz w:val="28"/>
                <w:szCs w:val="28"/>
              </w:rPr>
            </w:pPr>
            <w:r>
              <w:rPr>
                <w:rFonts w:ascii="宋体" w:eastAsia="宋体" w:hAnsi="宋体"/>
                <w:sz w:val="28"/>
                <w:szCs w:val="28"/>
              </w:rPr>
              <w:t xml:space="preserve"> </w:t>
            </w:r>
          </w:p>
        </w:tc>
        <w:tc>
          <w:tcPr>
            <w:tcW w:w="1553" w:type="dxa"/>
          </w:tcPr>
          <w:p w14:paraId="1FFF38EA" w14:textId="2F732D7E" w:rsidR="00A82C5A" w:rsidRDefault="00963B7D">
            <w:pPr>
              <w:rPr>
                <w:rFonts w:ascii="宋体" w:eastAsia="宋体" w:hAnsi="宋体"/>
                <w:sz w:val="28"/>
                <w:szCs w:val="28"/>
              </w:rPr>
            </w:pPr>
            <w:r>
              <w:rPr>
                <w:rFonts w:ascii="宋体" w:eastAsia="宋体" w:hAnsi="宋体" w:hint="eastAsia"/>
                <w:sz w:val="28"/>
                <w:szCs w:val="28"/>
              </w:rPr>
              <w:t xml:space="preserve"> </w:t>
            </w:r>
          </w:p>
        </w:tc>
        <w:tc>
          <w:tcPr>
            <w:tcW w:w="2655" w:type="dxa"/>
          </w:tcPr>
          <w:p w14:paraId="1D373690" w14:textId="1450F958" w:rsidR="00A82C5A" w:rsidRDefault="00963B7D">
            <w:pPr>
              <w:jc w:val="center"/>
              <w:rPr>
                <w:rFonts w:ascii="宋体" w:eastAsia="宋体" w:hAnsi="宋体"/>
                <w:sz w:val="28"/>
                <w:szCs w:val="28"/>
              </w:rPr>
            </w:pPr>
            <w:r>
              <w:rPr>
                <w:rFonts w:ascii="宋体" w:eastAsia="宋体" w:hAnsi="宋体"/>
                <w:sz w:val="28"/>
                <w:szCs w:val="28"/>
              </w:rPr>
              <w:t xml:space="preserve"> </w:t>
            </w:r>
          </w:p>
        </w:tc>
      </w:tr>
      <w:tr w:rsidR="00A82C5A" w14:paraId="39FAC61B" w14:textId="77777777" w:rsidTr="00E15DC2">
        <w:trPr>
          <w:trHeight w:val="857"/>
        </w:trPr>
        <w:tc>
          <w:tcPr>
            <w:tcW w:w="2541" w:type="dxa"/>
            <w:gridSpan w:val="2"/>
          </w:tcPr>
          <w:p w14:paraId="0A5D6830" w14:textId="0603B482" w:rsidR="00A82C5A" w:rsidRDefault="00963B7D">
            <w:pPr>
              <w:rPr>
                <w:rFonts w:ascii="宋体" w:eastAsia="宋体" w:hAnsi="宋体"/>
                <w:sz w:val="28"/>
                <w:szCs w:val="28"/>
              </w:rPr>
            </w:pPr>
            <w:r>
              <w:rPr>
                <w:rFonts w:ascii="宋体" w:eastAsia="宋体" w:hAnsi="宋体" w:hint="eastAsia"/>
                <w:sz w:val="28"/>
                <w:szCs w:val="28"/>
              </w:rPr>
              <w:t xml:space="preserve"> </w:t>
            </w:r>
          </w:p>
        </w:tc>
        <w:tc>
          <w:tcPr>
            <w:tcW w:w="5539" w:type="dxa"/>
            <w:gridSpan w:val="3"/>
          </w:tcPr>
          <w:p w14:paraId="2597573F" w14:textId="26AF3E69" w:rsidR="00A82C5A" w:rsidRDefault="00A82C5A">
            <w:pPr>
              <w:pStyle w:val="1"/>
            </w:pPr>
          </w:p>
        </w:tc>
      </w:tr>
      <w:tr w:rsidR="00A82C5A" w14:paraId="5130EFAE" w14:textId="77777777" w:rsidTr="00E15DC2">
        <w:trPr>
          <w:trHeight w:val="1714"/>
        </w:trPr>
        <w:tc>
          <w:tcPr>
            <w:tcW w:w="8080" w:type="dxa"/>
            <w:gridSpan w:val="5"/>
          </w:tcPr>
          <w:p w14:paraId="648ED8D1" w14:textId="77777777" w:rsidR="00A82C5A" w:rsidRDefault="00963B7D">
            <w:r>
              <w:rPr>
                <w:rFonts w:hint="eastAsia"/>
              </w:rPr>
              <w:t>主要用途描述：</w:t>
            </w:r>
          </w:p>
          <w:p w14:paraId="5720B00D" w14:textId="3FE02825" w:rsidR="00A82C5A" w:rsidRPr="00B2068E" w:rsidRDefault="00963B7D">
            <w:pPr>
              <w:widowControl/>
              <w:ind w:firstLineChars="200" w:firstLine="480"/>
              <w:jc w:val="left"/>
              <w:rPr>
                <w:rFonts w:ascii="仿宋" w:eastAsia="仿宋" w:hAnsi="仿宋" w:cs="仿宋"/>
                <w:color w:val="000000"/>
                <w:kern w:val="0"/>
                <w:sz w:val="24"/>
                <w:szCs w:val="24"/>
                <w:lang w:bidi="ar"/>
              </w:rPr>
            </w:pPr>
            <w:r w:rsidRPr="00B2068E">
              <w:rPr>
                <w:rFonts w:ascii="仿宋" w:eastAsia="仿宋" w:hAnsi="仿宋" w:cs="仿宋"/>
                <w:color w:val="000000"/>
                <w:kern w:val="0"/>
                <w:sz w:val="24"/>
                <w:szCs w:val="24"/>
                <w:lang w:bidi="ar"/>
              </w:rPr>
              <w:t>本实验是对苏薄荷生长预测的模拟，更是对时间序列模型的模拟。通过本实</w:t>
            </w:r>
            <w:r w:rsidRPr="00B2068E">
              <w:rPr>
                <w:rFonts w:ascii="仿宋" w:eastAsia="仿宋" w:hAnsi="仿宋" w:cs="仿宋" w:hint="eastAsia"/>
                <w:color w:val="000000"/>
                <w:kern w:val="0"/>
                <w:sz w:val="24"/>
                <w:szCs w:val="24"/>
                <w:lang w:bidi="ar"/>
              </w:rPr>
              <w:t>验，</w:t>
            </w:r>
            <w:r w:rsidR="00B2068E">
              <w:rPr>
                <w:rFonts w:ascii="仿宋" w:eastAsia="仿宋" w:hAnsi="仿宋" w:cs="仿宋" w:hint="eastAsia"/>
                <w:color w:val="000000"/>
                <w:kern w:val="0"/>
                <w:sz w:val="24"/>
                <w:szCs w:val="24"/>
                <w:lang w:bidi="ar"/>
              </w:rPr>
              <w:t>可以帮助学生掌握薄荷生长注意事项，实现智慧中药种植；并</w:t>
            </w:r>
            <w:r w:rsidRPr="00B2068E">
              <w:rPr>
                <w:rFonts w:ascii="仿宋" w:eastAsia="仿宋" w:hAnsi="仿宋" w:cs="仿宋" w:hint="eastAsia"/>
                <w:color w:val="000000"/>
                <w:kern w:val="0"/>
                <w:sz w:val="24"/>
                <w:szCs w:val="24"/>
                <w:lang w:bidi="ar"/>
              </w:rPr>
              <w:t>让学生宏观了解并掌握</w:t>
            </w:r>
            <w:r w:rsidR="00213C92">
              <w:rPr>
                <w:rFonts w:ascii="仿宋" w:eastAsia="仿宋" w:hAnsi="仿宋" w:cs="仿宋" w:hint="eastAsia"/>
                <w:color w:val="000000"/>
                <w:kern w:val="0"/>
                <w:sz w:val="24"/>
                <w:szCs w:val="24"/>
                <w:lang w:bidi="ar"/>
              </w:rPr>
              <w:t>难以理解的</w:t>
            </w:r>
            <w:r w:rsidRPr="00B2068E">
              <w:rPr>
                <w:rFonts w:ascii="仿宋" w:eastAsia="仿宋" w:hAnsi="仿宋" w:cs="仿宋" w:hint="eastAsia"/>
                <w:color w:val="000000"/>
                <w:kern w:val="0"/>
                <w:sz w:val="24"/>
                <w:szCs w:val="24"/>
                <w:lang w:bidi="ar"/>
              </w:rPr>
              <w:t>时间序列算法</w:t>
            </w:r>
            <w:r w:rsidR="00213C92">
              <w:rPr>
                <w:rFonts w:ascii="仿宋" w:eastAsia="仿宋" w:hAnsi="仿宋" w:cs="仿宋" w:hint="eastAsia"/>
                <w:color w:val="000000"/>
                <w:kern w:val="0"/>
                <w:sz w:val="24"/>
                <w:szCs w:val="24"/>
                <w:lang w:bidi="ar"/>
              </w:rPr>
              <w:t>，并通过实验</w:t>
            </w:r>
            <w:r w:rsidRPr="00B2068E">
              <w:rPr>
                <w:rFonts w:ascii="仿宋" w:eastAsia="仿宋" w:hAnsi="仿宋" w:cs="仿宋" w:hint="eastAsia"/>
                <w:color w:val="000000"/>
                <w:kern w:val="0"/>
                <w:sz w:val="24"/>
                <w:szCs w:val="24"/>
                <w:lang w:bidi="ar"/>
              </w:rPr>
              <w:t>过程中参数的调整</w:t>
            </w:r>
            <w:r w:rsidR="00213C92">
              <w:rPr>
                <w:rFonts w:ascii="仿宋" w:eastAsia="仿宋" w:hAnsi="仿宋" w:cs="仿宋" w:hint="eastAsia"/>
                <w:color w:val="000000"/>
                <w:kern w:val="0"/>
                <w:sz w:val="24"/>
                <w:szCs w:val="24"/>
                <w:lang w:bidi="ar"/>
              </w:rPr>
              <w:t>理解其对</w:t>
            </w:r>
            <w:r w:rsidRPr="00B2068E">
              <w:rPr>
                <w:rFonts w:ascii="仿宋" w:eastAsia="仿宋" w:hAnsi="仿宋" w:cs="仿宋" w:hint="eastAsia"/>
                <w:color w:val="000000"/>
                <w:kern w:val="0"/>
                <w:sz w:val="24"/>
                <w:szCs w:val="24"/>
                <w:lang w:bidi="ar"/>
              </w:rPr>
              <w:t>模型好坏的影响</w:t>
            </w:r>
            <w:r w:rsidR="00213C92">
              <w:rPr>
                <w:rFonts w:ascii="仿宋" w:eastAsia="仿宋" w:hAnsi="仿宋" w:cs="仿宋" w:hint="eastAsia"/>
                <w:color w:val="000000"/>
                <w:kern w:val="0"/>
                <w:sz w:val="24"/>
                <w:szCs w:val="24"/>
                <w:lang w:bidi="ar"/>
              </w:rPr>
              <w:t>，学以致用，提高学生学习的积极性</w:t>
            </w:r>
            <w:r w:rsidRPr="00B2068E">
              <w:rPr>
                <w:rFonts w:ascii="仿宋" w:eastAsia="仿宋" w:hAnsi="仿宋" w:cs="仿宋" w:hint="eastAsia"/>
                <w:color w:val="000000"/>
                <w:kern w:val="0"/>
                <w:sz w:val="24"/>
                <w:szCs w:val="24"/>
                <w:lang w:bidi="ar"/>
              </w:rPr>
              <w:t>。</w:t>
            </w:r>
          </w:p>
          <w:p w14:paraId="1C0ED2AB" w14:textId="77777777" w:rsidR="00A82C5A" w:rsidRDefault="00A82C5A">
            <w:pPr>
              <w:pStyle w:val="1"/>
            </w:pPr>
          </w:p>
          <w:p w14:paraId="7FB4ABD4" w14:textId="77777777" w:rsidR="00A82C5A" w:rsidRDefault="00A82C5A">
            <w:pPr>
              <w:pStyle w:val="1"/>
            </w:pPr>
          </w:p>
        </w:tc>
      </w:tr>
      <w:tr w:rsidR="00A82C5A" w14:paraId="5D005F54" w14:textId="77777777" w:rsidTr="00E15DC2">
        <w:trPr>
          <w:trHeight w:val="7205"/>
        </w:trPr>
        <w:tc>
          <w:tcPr>
            <w:tcW w:w="8080" w:type="dxa"/>
            <w:gridSpan w:val="5"/>
          </w:tcPr>
          <w:p w14:paraId="5D67D63A" w14:textId="77777777" w:rsidR="00A82C5A" w:rsidRDefault="00963B7D">
            <w:pPr>
              <w:rPr>
                <w:rFonts w:ascii="宋体" w:eastAsia="宋体" w:hAnsi="宋体"/>
                <w:sz w:val="28"/>
                <w:szCs w:val="28"/>
              </w:rPr>
            </w:pPr>
            <w:r>
              <w:rPr>
                <w:rFonts w:ascii="宋体" w:eastAsia="宋体" w:hAnsi="宋体" w:hint="eastAsia"/>
                <w:sz w:val="28"/>
                <w:szCs w:val="28"/>
              </w:rPr>
              <w:t>参数要求：</w:t>
            </w:r>
          </w:p>
          <w:p w14:paraId="73925E1C" w14:textId="77777777" w:rsidR="00A82C5A" w:rsidRDefault="00A82C5A">
            <w:pPr>
              <w:pStyle w:val="4"/>
            </w:pPr>
          </w:p>
          <w:p w14:paraId="51315FB7" w14:textId="77777777" w:rsidR="00A82C5A" w:rsidRDefault="00963B7D">
            <w:pPr>
              <w:pStyle w:val="a3"/>
              <w:spacing w:line="360" w:lineRule="auto"/>
              <w:ind w:left="0"/>
              <w:jc w:val="left"/>
              <w:rPr>
                <w:rFonts w:eastAsia="宋体" w:cs="宋体"/>
                <w:b/>
                <w:szCs w:val="21"/>
              </w:rPr>
            </w:pPr>
            <w:r>
              <w:rPr>
                <w:rFonts w:eastAsia="宋体" w:cs="宋体" w:hint="eastAsia"/>
                <w:b/>
                <w:szCs w:val="21"/>
              </w:rPr>
              <w:t>（一）项目建设要求</w:t>
            </w:r>
          </w:p>
          <w:p w14:paraId="6E31DFF2"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kern w:val="0"/>
                <w:szCs w:val="21"/>
              </w:rPr>
              <w:t>苏薄荷生长预测虚拟仿真实验</w:t>
            </w:r>
            <w:r>
              <w:rPr>
                <w:rFonts w:ascii="宋体" w:eastAsia="宋体" w:hAnsi="宋体" w:cs="宋体" w:hint="eastAsia"/>
                <w:szCs w:val="21"/>
              </w:rPr>
              <w:t>应具备基础信息、学生权限、学习功能、学习记录等基本功能，同时还应具备符合学科专业特点和理念的个性化功能。教师通过系统建设、管理及维护</w:t>
            </w:r>
            <w:r>
              <w:rPr>
                <w:rFonts w:ascii="宋体" w:eastAsia="宋体" w:hAnsi="宋体" w:cs="宋体" w:hint="eastAsia"/>
                <w:kern w:val="0"/>
                <w:szCs w:val="21"/>
              </w:rPr>
              <w:t>苏薄荷生长预测虚拟仿真实验</w:t>
            </w:r>
            <w:r>
              <w:rPr>
                <w:rFonts w:ascii="宋体" w:eastAsia="宋体" w:hAnsi="宋体" w:cs="宋体" w:hint="eastAsia"/>
                <w:szCs w:val="21"/>
              </w:rPr>
              <w:t>的教学资源，学生和老师以及其他注册用户通过本系统可方便快捷的浏览和使用</w:t>
            </w:r>
            <w:r>
              <w:rPr>
                <w:rFonts w:ascii="宋体" w:eastAsia="宋体" w:hAnsi="宋体" w:cs="宋体" w:hint="eastAsia"/>
                <w:kern w:val="0"/>
                <w:szCs w:val="21"/>
              </w:rPr>
              <w:t>苏薄荷生长预测虚拟仿真实验</w:t>
            </w:r>
            <w:r>
              <w:rPr>
                <w:rFonts w:ascii="宋体" w:eastAsia="宋体" w:hAnsi="宋体" w:cs="宋体" w:hint="eastAsia"/>
                <w:szCs w:val="21"/>
              </w:rPr>
              <w:t>。</w:t>
            </w:r>
          </w:p>
          <w:p w14:paraId="0A693968" w14:textId="77777777" w:rsidR="00A82C5A" w:rsidRDefault="00963B7D">
            <w:pPr>
              <w:adjustRightInd w:val="0"/>
              <w:spacing w:beforeLines="50" w:before="156" w:afterLines="50" w:after="156" w:line="400" w:lineRule="exact"/>
              <w:ind w:firstLineChars="200"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szCs w:val="21"/>
              </w:rPr>
              <w:t>拟开发的</w:t>
            </w:r>
            <w:r>
              <w:rPr>
                <w:rFonts w:ascii="宋体" w:eastAsia="宋体" w:hAnsi="宋体" w:cs="宋体" w:hint="eastAsia"/>
                <w:kern w:val="0"/>
                <w:szCs w:val="21"/>
              </w:rPr>
              <w:t>苏薄荷生长预测虚拟仿真实验必须采用网页版本的成果形式，必须与教育部实验空间（</w:t>
            </w:r>
            <w:r>
              <w:rPr>
                <w:rFonts w:ascii="宋体" w:eastAsia="宋体" w:hAnsi="宋体" w:cs="宋体" w:hint="eastAsia"/>
                <w:kern w:val="0"/>
                <w:szCs w:val="21"/>
              </w:rPr>
              <w:t>ilab-x.com</w:t>
            </w:r>
            <w:r>
              <w:rPr>
                <w:rFonts w:ascii="宋体" w:eastAsia="宋体" w:hAnsi="宋体" w:cs="宋体" w:hint="eastAsia"/>
                <w:kern w:val="0"/>
                <w:szCs w:val="21"/>
              </w:rPr>
              <w:t>）实现数据对接，可传递实验成绩、实验报告、实验开始时间、实验结束时间、实验时长数据。（提供承诺加盖公章）</w:t>
            </w:r>
          </w:p>
          <w:p w14:paraId="01CC133E"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苏薄荷生长预测虚拟仿真实验</w:t>
            </w:r>
            <w:r>
              <w:rPr>
                <w:rFonts w:ascii="宋体" w:eastAsia="宋体" w:hAnsi="宋体" w:cs="宋体" w:hint="eastAsia"/>
                <w:szCs w:val="21"/>
              </w:rPr>
              <w:t>必须与省教育厅共享系统实现数据对接，系统的用户数据与虚拟仿真实验教学资源必须能够共享接入省共享系统，可传递实验成绩、实验报告、实验开始时间、实验结束时间、实验时长数据。</w:t>
            </w:r>
            <w:r>
              <w:rPr>
                <w:rFonts w:ascii="宋体" w:eastAsia="宋体" w:hAnsi="宋体" w:cs="宋体" w:hint="eastAsia"/>
                <w:kern w:val="0"/>
                <w:szCs w:val="21"/>
              </w:rPr>
              <w:t>（提供承诺加盖公章）</w:t>
            </w:r>
          </w:p>
          <w:p w14:paraId="0D0AD771"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满足教育部虚拟仿真一流课程申报对课程开设周期的要求，</w:t>
            </w:r>
            <w:r>
              <w:rPr>
                <w:rFonts w:ascii="宋体" w:eastAsia="宋体" w:hAnsi="宋体" w:cs="宋体" w:hint="eastAsia"/>
                <w:szCs w:val="21"/>
              </w:rPr>
              <w:t>系统必须包含实验课程开设管理功能，包括：课程维护、开课管理；可以设置实验课程的开始时间和截止时间，可查询每个开课周期的教学情况，可查询参与实验的学生数、学习时间、成绩等数据；系统自动生成虚拟仿真课程开课日志。</w:t>
            </w:r>
          </w:p>
          <w:p w14:paraId="73F7BA14" w14:textId="77777777" w:rsidR="00A82C5A" w:rsidRDefault="00963B7D">
            <w:pPr>
              <w:pStyle w:val="a4"/>
              <w:adjustRightInd w:val="0"/>
              <w:spacing w:beforeLines="50" w:before="156" w:afterLines="50" w:after="156" w:line="400" w:lineRule="exact"/>
              <w:ind w:firstLineChars="200"/>
              <w:rPr>
                <w:rFonts w:eastAsia="宋体" w:cs="宋体"/>
                <w:kern w:val="0"/>
                <w:sz w:val="21"/>
                <w:szCs w:val="21"/>
                <w:lang w:eastAsia="zh-CN"/>
              </w:rPr>
            </w:pPr>
            <w:r>
              <w:rPr>
                <w:rFonts w:eastAsia="宋体" w:cs="宋体" w:hint="eastAsia"/>
                <w:kern w:val="0"/>
                <w:sz w:val="21"/>
                <w:szCs w:val="21"/>
                <w:lang w:eastAsia="zh-CN"/>
              </w:rPr>
              <w:lastRenderedPageBreak/>
              <w:t>★</w:t>
            </w:r>
            <w:r>
              <w:rPr>
                <w:rFonts w:eastAsia="宋体" w:cs="宋体" w:hint="eastAsia"/>
                <w:kern w:val="0"/>
                <w:sz w:val="21"/>
                <w:szCs w:val="21"/>
                <w:lang w:eastAsia="zh-CN"/>
              </w:rPr>
              <w:t>5</w:t>
            </w:r>
            <w:r>
              <w:rPr>
                <w:rFonts w:eastAsia="宋体" w:cs="宋体" w:hint="eastAsia"/>
                <w:kern w:val="0"/>
                <w:sz w:val="21"/>
                <w:szCs w:val="21"/>
                <w:lang w:eastAsia="zh-CN"/>
              </w:rPr>
              <w:t>、</w:t>
            </w:r>
            <w:r>
              <w:rPr>
                <w:rFonts w:eastAsia="宋体" w:cs="宋体" w:hint="eastAsia"/>
                <w:sz w:val="21"/>
                <w:szCs w:val="21"/>
                <w:lang w:eastAsia="zh-CN"/>
              </w:rPr>
              <w:t>实验交付后提供本</w:t>
            </w:r>
            <w:r>
              <w:rPr>
                <w:rFonts w:eastAsia="宋体" w:cs="宋体" w:hint="eastAsia"/>
                <w:sz w:val="21"/>
                <w:szCs w:val="21"/>
                <w:lang w:eastAsia="zh-CN"/>
              </w:rPr>
              <w:t>软件配套的升级与修改工具，便于后期老师自主进行实验修改完善与持续建设。</w:t>
            </w:r>
            <w:r>
              <w:rPr>
                <w:rFonts w:eastAsia="宋体" w:cs="宋体" w:hint="eastAsia"/>
                <w:kern w:val="0"/>
                <w:sz w:val="21"/>
                <w:szCs w:val="21"/>
                <w:lang w:eastAsia="zh-CN"/>
              </w:rPr>
              <w:t>（提供承诺加盖公章）</w:t>
            </w:r>
          </w:p>
          <w:p w14:paraId="01AA92A9" w14:textId="77777777" w:rsidR="00A82C5A" w:rsidRDefault="00963B7D">
            <w:pPr>
              <w:pStyle w:val="a4"/>
              <w:adjustRightInd w:val="0"/>
              <w:spacing w:beforeLines="50" w:before="156" w:afterLines="50" w:after="156" w:line="400" w:lineRule="exact"/>
              <w:ind w:firstLineChars="200"/>
              <w:rPr>
                <w:rFonts w:eastAsia="宋体" w:cs="宋体"/>
                <w:sz w:val="21"/>
                <w:szCs w:val="21"/>
                <w:lang w:eastAsia="zh-CN"/>
              </w:rPr>
            </w:pPr>
            <w:r>
              <w:rPr>
                <w:rFonts w:eastAsia="宋体" w:cs="宋体" w:hint="eastAsia"/>
                <w:kern w:val="0"/>
                <w:sz w:val="21"/>
                <w:szCs w:val="21"/>
                <w:lang w:eastAsia="zh-CN"/>
              </w:rPr>
              <w:t>★</w:t>
            </w:r>
            <w:r>
              <w:rPr>
                <w:rFonts w:eastAsia="宋体" w:cs="宋体" w:hint="eastAsia"/>
                <w:kern w:val="0"/>
                <w:sz w:val="21"/>
                <w:szCs w:val="21"/>
                <w:lang w:eastAsia="zh-CN"/>
              </w:rPr>
              <w:t>6</w:t>
            </w:r>
            <w:r>
              <w:rPr>
                <w:rFonts w:eastAsia="宋体" w:cs="宋体" w:hint="eastAsia"/>
                <w:kern w:val="0"/>
                <w:sz w:val="21"/>
                <w:szCs w:val="21"/>
                <w:lang w:eastAsia="zh-CN"/>
              </w:rPr>
              <w:t>、</w:t>
            </w:r>
            <w:r>
              <w:rPr>
                <w:rFonts w:eastAsia="宋体" w:cs="宋体" w:hint="eastAsia"/>
                <w:sz w:val="21"/>
                <w:szCs w:val="21"/>
                <w:lang w:eastAsia="zh-CN"/>
              </w:rPr>
              <w:t>提供国内</w:t>
            </w:r>
            <w:r>
              <w:rPr>
                <w:rFonts w:eastAsia="宋体" w:cs="宋体" w:hint="eastAsia"/>
                <w:kern w:val="0"/>
                <w:sz w:val="21"/>
                <w:szCs w:val="21"/>
                <w:lang w:eastAsia="zh-CN"/>
              </w:rPr>
              <w:t>苏薄荷生长环境场地</w:t>
            </w:r>
            <w:r>
              <w:rPr>
                <w:rFonts w:eastAsia="宋体" w:cs="宋体" w:hint="eastAsia"/>
                <w:sz w:val="21"/>
                <w:szCs w:val="21"/>
                <w:lang w:eastAsia="zh-CN"/>
              </w:rPr>
              <w:t>采集拍摄条件、专业技术人员提供必要的相关技术支持以及真实的苏薄荷生长数据，用于虚拟仿真实验建设。</w:t>
            </w:r>
            <w:r>
              <w:rPr>
                <w:rFonts w:eastAsia="宋体" w:cs="宋体" w:hint="eastAsia"/>
                <w:kern w:val="0"/>
                <w:sz w:val="21"/>
                <w:szCs w:val="21"/>
                <w:lang w:eastAsia="zh-CN"/>
              </w:rPr>
              <w:t>（提供承诺加盖公章）</w:t>
            </w:r>
          </w:p>
          <w:p w14:paraId="07C91C43" w14:textId="77777777" w:rsidR="00A82C5A" w:rsidRDefault="00963B7D">
            <w:pPr>
              <w:adjustRightInd w:val="0"/>
              <w:spacing w:beforeLines="50" w:before="156" w:afterLines="50" w:after="156" w:line="400" w:lineRule="exact"/>
              <w:jc w:val="left"/>
              <w:rPr>
                <w:rFonts w:ascii="宋体" w:eastAsia="宋体" w:hAnsi="宋体" w:cs="宋体"/>
                <w:b/>
                <w:szCs w:val="21"/>
              </w:rPr>
            </w:pPr>
            <w:r>
              <w:rPr>
                <w:rFonts w:ascii="宋体" w:eastAsia="宋体" w:hAnsi="宋体" w:cs="宋体" w:hint="eastAsia"/>
                <w:b/>
                <w:szCs w:val="21"/>
              </w:rPr>
              <w:t>（二）、</w:t>
            </w:r>
            <w:r>
              <w:rPr>
                <w:rFonts w:ascii="宋体" w:eastAsia="宋体" w:hAnsi="宋体" w:cs="宋体" w:hint="eastAsia"/>
                <w:b/>
                <w:kern w:val="0"/>
                <w:szCs w:val="21"/>
              </w:rPr>
              <w:t>苏薄荷生长预测虚拟仿真实验</w:t>
            </w:r>
            <w:r>
              <w:rPr>
                <w:rFonts w:ascii="宋体" w:eastAsia="宋体" w:hAnsi="宋体" w:cs="宋体" w:hint="eastAsia"/>
                <w:b/>
                <w:szCs w:val="21"/>
              </w:rPr>
              <w:t>在线实验开放支撑系统</w:t>
            </w:r>
          </w:p>
          <w:p w14:paraId="494DF907" w14:textId="77777777" w:rsidR="00A82C5A" w:rsidRDefault="00963B7D">
            <w:pPr>
              <w:pStyle w:val="10"/>
              <w:adjustRightInd w:val="0"/>
              <w:spacing w:beforeLines="50" w:before="156" w:afterLines="50" w:after="156" w:line="40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基础信息</w:t>
            </w:r>
          </w:p>
          <w:p w14:paraId="4F576556"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组织管理。系统对用户的组织架构进行信息编辑和批量导入。</w:t>
            </w:r>
          </w:p>
          <w:p w14:paraId="66D7830F"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系统日志。系统日志数据为系统的安全性提供了可恢复、可追溯、集中查询、分析处理的可能。</w:t>
            </w:r>
          </w:p>
          <w:p w14:paraId="74CBC916"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后台管理。对系统的运行数据进行统计分析、敏感词过滤、数据备份等功能。</w:t>
            </w:r>
          </w:p>
          <w:p w14:paraId="48EE4DBF"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1.4</w:t>
            </w:r>
            <w:r>
              <w:rPr>
                <w:rFonts w:ascii="宋体" w:eastAsia="宋体" w:hAnsi="宋体" w:cs="宋体" w:hint="eastAsia"/>
                <w:szCs w:val="21"/>
              </w:rPr>
              <w:t>信息编辑。对系统的资源信息按评价规则（如点击率、好评率）对热门资源进行自动排名和统计。提供开放的实验资源管理功能，教师可以在系统中创建实验项目，维护实验项目的相关信息，包括实验简介、实验背景、简介视频、教学团队等，教师可以对创建的课程进行查看、修改、删除等操作；</w:t>
            </w:r>
          </w:p>
          <w:p w14:paraId="792982DB"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项目展示页。提供一个虚拟仿真运营的门户网站，保证虚拟仿真项目的正常运行，门户网站支持管理员自主编辑相关内容。实验项目主页风格主题支持教师自定义：系统需支持教师</w:t>
            </w:r>
            <w:r>
              <w:rPr>
                <w:rFonts w:ascii="宋体" w:eastAsia="宋体" w:hAnsi="宋体" w:cs="宋体" w:hint="eastAsia"/>
                <w:szCs w:val="21"/>
              </w:rPr>
              <w:t>自主选择更换实验项目主页风格主题的功能，只需一键点击即可切换实验资源的主题风格，需提供不低于</w:t>
            </w:r>
            <w:r>
              <w:rPr>
                <w:rFonts w:ascii="宋体" w:eastAsia="宋体" w:hAnsi="宋体" w:cs="宋体" w:hint="eastAsia"/>
                <w:szCs w:val="21"/>
              </w:rPr>
              <w:t>100</w:t>
            </w:r>
            <w:r>
              <w:rPr>
                <w:rFonts w:ascii="宋体" w:eastAsia="宋体" w:hAnsi="宋体" w:cs="宋体" w:hint="eastAsia"/>
                <w:szCs w:val="21"/>
              </w:rPr>
              <w:t>套实验项目主题风格供选择。（现场演示项）</w:t>
            </w:r>
          </w:p>
          <w:p w14:paraId="488E1008" w14:textId="77777777" w:rsidR="00A82C5A" w:rsidRDefault="00963B7D">
            <w:pPr>
              <w:pStyle w:val="10"/>
              <w:adjustRightInd w:val="0"/>
              <w:spacing w:beforeLines="50" w:before="156" w:afterLines="50" w:after="156" w:line="40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学习功能</w:t>
            </w:r>
          </w:p>
          <w:p w14:paraId="0D09E225"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查询功能。系统按照专业门类、资源归属进行资源分类，支持资源的一站式智能搜索。允许用户按照资源的发布时间、所属专业、所属学校、资源分类进行定向快速查找和对关键字的快速查找。</w:t>
            </w:r>
            <w:r>
              <w:rPr>
                <w:rFonts w:ascii="宋体" w:eastAsia="宋体" w:hAnsi="宋体" w:cs="宋体" w:hint="eastAsia"/>
                <w:szCs w:val="21"/>
              </w:rPr>
              <w:t xml:space="preserve"> </w:t>
            </w:r>
          </w:p>
          <w:p w14:paraId="4F3553BF"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预习功能。支持文本、图片、动画、视频、音频等传统的媒体资源，还需包含全景视频、虚拟仿真交互实验等多种类型和格式的资源上传，供学习者课前打开预习。（现场演示项）</w:t>
            </w:r>
          </w:p>
          <w:p w14:paraId="4BDAA9F7"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2.3</w:t>
            </w:r>
            <w:r>
              <w:rPr>
                <w:rFonts w:ascii="宋体" w:eastAsia="宋体" w:hAnsi="宋体" w:cs="宋体" w:hint="eastAsia"/>
                <w:szCs w:val="21"/>
              </w:rPr>
              <w:t>自测</w:t>
            </w:r>
            <w:r>
              <w:rPr>
                <w:rFonts w:ascii="宋体" w:eastAsia="宋体" w:hAnsi="宋体" w:cs="宋体" w:hint="eastAsia"/>
                <w:szCs w:val="21"/>
              </w:rPr>
              <w:t>功能。系统支持在线自测，需提供题库、试卷管理；可自行在题库中创建、抽取不同类型的习题，支持手动及设定策略自动组卷。用户通过作答客观题、判断题、主观题的试卷，为学习者提供理论强化、错误纠正和知识拓展。</w:t>
            </w:r>
          </w:p>
          <w:p w14:paraId="1EB751EF"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实验操作。系统支持网上实验，无须用户下载专业软件，系统提供仿真实验视频</w:t>
            </w:r>
            <w:r>
              <w:rPr>
                <w:rFonts w:ascii="宋体" w:eastAsia="宋体" w:hAnsi="宋体" w:cs="宋体" w:hint="eastAsia"/>
                <w:szCs w:val="21"/>
              </w:rPr>
              <w:lastRenderedPageBreak/>
              <w:t>观看、实验过程模拟操作的网上界面，供学习者进行知识点的实验应用操作。支持断点续学，学习者可以快速定位到上次学习的节点，继续进行实验的下一步操作。</w:t>
            </w:r>
          </w:p>
          <w:p w14:paraId="79CEF232"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2.5</w:t>
            </w:r>
            <w:r>
              <w:rPr>
                <w:rFonts w:ascii="宋体" w:eastAsia="宋体" w:hAnsi="宋体" w:cs="宋体" w:hint="eastAsia"/>
                <w:szCs w:val="21"/>
              </w:rPr>
              <w:t>资源评价。系统支持用户学习后，对资源进行分数制评价，实现优质资源的统计和排行。</w:t>
            </w:r>
          </w:p>
          <w:p w14:paraId="132E6718"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2.6</w:t>
            </w:r>
            <w:r>
              <w:rPr>
                <w:rFonts w:ascii="宋体" w:eastAsia="宋体" w:hAnsi="宋体" w:cs="宋体" w:hint="eastAsia"/>
                <w:szCs w:val="21"/>
              </w:rPr>
              <w:t>交流互动。系统支持在线提问，用户可以围绕具体的虚拟仿真实验，提出问题，系统自动将类似的问题及回复提供给提问者参阅。</w:t>
            </w:r>
          </w:p>
          <w:p w14:paraId="7635D22A"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2.7</w:t>
            </w:r>
            <w:r>
              <w:rPr>
                <w:rFonts w:ascii="宋体" w:eastAsia="宋体" w:hAnsi="宋体" w:cs="宋体" w:hint="eastAsia"/>
                <w:szCs w:val="21"/>
              </w:rPr>
              <w:t>系统需提供配套的移动客户端学习系统，移动端数据需与</w:t>
            </w:r>
            <w:r>
              <w:rPr>
                <w:rFonts w:ascii="宋体" w:eastAsia="宋体" w:hAnsi="宋体" w:cs="宋体" w:hint="eastAsia"/>
                <w:szCs w:val="21"/>
              </w:rPr>
              <w:t>PC</w:t>
            </w:r>
            <w:r>
              <w:rPr>
                <w:rFonts w:ascii="宋体" w:eastAsia="宋体" w:hAnsi="宋体" w:cs="宋体" w:hint="eastAsia"/>
                <w:szCs w:val="21"/>
              </w:rPr>
              <w:t>端数据互通，学生不仅可以通过移动端播放课程中的普通视频、全景视频等传统的学习资料学习，还能通过二维码扫描并直接进入实验，进行实验操作；（现场演示项）</w:t>
            </w:r>
          </w:p>
          <w:p w14:paraId="09CC9C48"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2.8</w:t>
            </w:r>
            <w:r>
              <w:rPr>
                <w:rFonts w:ascii="宋体" w:eastAsia="宋体" w:hAnsi="宋体" w:cs="宋体" w:hint="eastAsia"/>
                <w:szCs w:val="21"/>
              </w:rPr>
              <w:t>系统需提供知识点课件库，并能够生成站点地址，用于上传虚拟仿真一流课程工作网。课件库可以提供碎片化的知识点管理功能，教师可发布名词、术语解释或实验项目相关的学术文章、新闻报道等</w:t>
            </w:r>
            <w:r>
              <w:rPr>
                <w:rFonts w:ascii="宋体" w:eastAsia="宋体" w:hAnsi="宋体" w:cs="宋体" w:hint="eastAsia"/>
                <w:szCs w:val="21"/>
              </w:rPr>
              <w:t>信息，知识点可以和实验项目绑定形成实验项目专属的知识点集合。（现场演示项）</w:t>
            </w:r>
          </w:p>
          <w:p w14:paraId="099435ED"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2.9</w:t>
            </w:r>
            <w:r>
              <w:rPr>
                <w:rFonts w:ascii="宋体" w:eastAsia="宋体" w:hAnsi="宋体" w:cs="宋体" w:hint="eastAsia"/>
                <w:szCs w:val="21"/>
              </w:rPr>
              <w:t>系统需提供</w:t>
            </w:r>
            <w:r>
              <w:rPr>
                <w:rFonts w:ascii="宋体" w:eastAsia="宋体" w:hAnsi="宋体" w:cs="宋体" w:hint="eastAsia"/>
                <w:kern w:val="0"/>
                <w:szCs w:val="21"/>
              </w:rPr>
              <w:t>苏薄荷生长预测</w:t>
            </w:r>
            <w:r>
              <w:rPr>
                <w:rFonts w:ascii="宋体" w:eastAsia="宋体" w:hAnsi="宋体" w:cs="宋体" w:hint="eastAsia"/>
                <w:szCs w:val="21"/>
              </w:rPr>
              <w:t>知识点课件库的创建和分享功能，并能够生成站点地址，用于上传国家虚拟仿真一流课程工作网。课件库可以提供碎片化的知识点管理功能，教师可发布名词、术语解释或实验项目相关的学术文章、新闻报道等信息，知识点可以和实验项目绑定形成实验项目专属的知识点集合。（现场演示项）</w:t>
            </w:r>
          </w:p>
          <w:p w14:paraId="15E56851" w14:textId="77777777" w:rsidR="00A82C5A" w:rsidRDefault="00963B7D">
            <w:pPr>
              <w:pStyle w:val="a4"/>
              <w:adjustRightInd w:val="0"/>
              <w:spacing w:beforeLines="50" w:before="156" w:afterLines="50" w:after="156" w:line="400" w:lineRule="exact"/>
              <w:ind w:firstLineChars="200"/>
              <w:rPr>
                <w:rFonts w:eastAsia="宋体" w:cs="宋体"/>
                <w:sz w:val="21"/>
                <w:szCs w:val="21"/>
                <w:lang w:eastAsia="zh-CN"/>
              </w:rPr>
            </w:pPr>
            <w:r>
              <w:rPr>
                <w:rFonts w:eastAsia="宋体" w:cs="宋体" w:hint="eastAsia"/>
                <w:sz w:val="21"/>
                <w:szCs w:val="21"/>
                <w:lang w:eastAsia="zh-CN"/>
              </w:rPr>
              <w:t>2.10</w:t>
            </w:r>
            <w:r>
              <w:rPr>
                <w:rFonts w:eastAsia="宋体" w:cs="宋体" w:hint="eastAsia"/>
                <w:sz w:val="21"/>
                <w:szCs w:val="21"/>
                <w:lang w:eastAsia="zh-CN"/>
              </w:rPr>
              <w:t>实验指南编辑：教师端可以通过网页格式编写实验操作指南，实验指南编辑系统基于</w:t>
            </w:r>
            <w:r>
              <w:rPr>
                <w:rFonts w:eastAsia="宋体" w:cs="宋体" w:hint="eastAsia"/>
                <w:sz w:val="21"/>
                <w:szCs w:val="21"/>
                <w:lang w:eastAsia="zh-CN"/>
              </w:rPr>
              <w:t>B/S</w:t>
            </w:r>
            <w:r>
              <w:rPr>
                <w:rFonts w:eastAsia="宋体" w:cs="宋体" w:hint="eastAsia"/>
                <w:sz w:val="21"/>
                <w:szCs w:val="21"/>
                <w:lang w:eastAsia="zh-CN"/>
              </w:rPr>
              <w:t>架构。教师自主编写实验操作指南，对应生成</w:t>
            </w:r>
            <w:r>
              <w:rPr>
                <w:rFonts w:eastAsia="宋体" w:cs="宋体" w:hint="eastAsia"/>
                <w:sz w:val="21"/>
                <w:szCs w:val="21"/>
                <w:lang w:eastAsia="zh-CN"/>
              </w:rPr>
              <w:t>web</w:t>
            </w:r>
            <w:r>
              <w:rPr>
                <w:rFonts w:eastAsia="宋体" w:cs="宋体" w:hint="eastAsia"/>
                <w:sz w:val="21"/>
                <w:szCs w:val="21"/>
                <w:lang w:eastAsia="zh-CN"/>
              </w:rPr>
              <w:t>网页格式供学生查看，并能够在实验项目中自动调用生成。（现场演示项）</w:t>
            </w:r>
          </w:p>
          <w:p w14:paraId="1CDFAD24"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2.11</w:t>
            </w:r>
            <w:r>
              <w:rPr>
                <w:rFonts w:ascii="宋体" w:eastAsia="宋体" w:hAnsi="宋体" w:cs="宋体" w:hint="eastAsia"/>
                <w:szCs w:val="21"/>
              </w:rPr>
              <w:t>实验报告编辑：支持实验报告编辑功能，从元件库中选择元件编辑实验报告，可以保存报告，撤销编辑，重做报告，预览报告，发布报告。教师端可以通过网页格式编写实验报告，对应生成</w:t>
            </w:r>
            <w:r>
              <w:rPr>
                <w:rFonts w:ascii="宋体" w:eastAsia="宋体" w:hAnsi="宋体" w:cs="宋体" w:hint="eastAsia"/>
                <w:szCs w:val="21"/>
              </w:rPr>
              <w:t>web</w:t>
            </w:r>
            <w:r>
              <w:rPr>
                <w:rFonts w:ascii="宋体" w:eastAsia="宋体" w:hAnsi="宋体" w:cs="宋体" w:hint="eastAsia"/>
                <w:szCs w:val="21"/>
              </w:rPr>
              <w:t>网页格式供学生填写，并能够在实验项目中自动调用生成。学生的实验报告数据能够完整的储存在服务器端，供教师和学生在实验后查看。（现场演</w:t>
            </w:r>
            <w:r>
              <w:rPr>
                <w:rFonts w:ascii="宋体" w:eastAsia="宋体" w:hAnsi="宋体" w:cs="宋体" w:hint="eastAsia"/>
                <w:szCs w:val="21"/>
              </w:rPr>
              <w:t>示项）</w:t>
            </w:r>
          </w:p>
          <w:p w14:paraId="4C01FD04" w14:textId="77777777" w:rsidR="00A82C5A" w:rsidRDefault="00963B7D">
            <w:pPr>
              <w:pStyle w:val="a4"/>
              <w:adjustRightInd w:val="0"/>
              <w:spacing w:beforeLines="50" w:before="156" w:afterLines="50" w:after="156" w:line="400" w:lineRule="exact"/>
              <w:ind w:firstLineChars="200"/>
              <w:rPr>
                <w:rFonts w:eastAsia="宋体" w:cs="宋体"/>
                <w:sz w:val="21"/>
                <w:szCs w:val="21"/>
                <w:lang w:eastAsia="zh-CN"/>
              </w:rPr>
            </w:pPr>
            <w:r>
              <w:rPr>
                <w:rFonts w:eastAsia="宋体" w:cs="宋体" w:hint="eastAsia"/>
                <w:sz w:val="21"/>
                <w:szCs w:val="21"/>
                <w:lang w:eastAsia="zh-CN"/>
              </w:rPr>
              <w:t>2.12</w:t>
            </w:r>
            <w:r>
              <w:rPr>
                <w:rFonts w:eastAsia="宋体" w:cs="宋体" w:hint="eastAsia"/>
                <w:sz w:val="21"/>
                <w:szCs w:val="21"/>
                <w:lang w:eastAsia="zh-CN"/>
              </w:rPr>
              <w:t>系统需提供美术资源管理功能，教师可以上传、管理</w:t>
            </w:r>
            <w:r>
              <w:rPr>
                <w:rFonts w:eastAsia="宋体" w:cs="宋体" w:hint="eastAsia"/>
                <w:kern w:val="0"/>
                <w:sz w:val="21"/>
                <w:szCs w:val="21"/>
                <w:lang w:eastAsia="zh-CN"/>
              </w:rPr>
              <w:t>苏薄荷生长预测</w:t>
            </w:r>
            <w:r>
              <w:rPr>
                <w:rFonts w:eastAsia="宋体" w:cs="宋体" w:hint="eastAsia"/>
                <w:sz w:val="21"/>
                <w:szCs w:val="21"/>
                <w:lang w:eastAsia="zh-CN"/>
              </w:rPr>
              <w:t>的美术资源，包括模型、场景、</w:t>
            </w:r>
            <w:r>
              <w:rPr>
                <w:rFonts w:eastAsia="宋体" w:cs="宋体" w:hint="eastAsia"/>
                <w:sz w:val="21"/>
                <w:szCs w:val="21"/>
                <w:lang w:eastAsia="zh-CN"/>
              </w:rPr>
              <w:t>UI</w:t>
            </w:r>
            <w:r>
              <w:rPr>
                <w:rFonts w:eastAsia="宋体" w:cs="宋体" w:hint="eastAsia"/>
                <w:sz w:val="21"/>
                <w:szCs w:val="21"/>
                <w:lang w:eastAsia="zh-CN"/>
              </w:rPr>
              <w:t>、特效等在内的美术资源，美术资源支持不同操作系统系统（</w:t>
            </w:r>
            <w:r>
              <w:rPr>
                <w:rFonts w:eastAsia="宋体" w:cs="宋体" w:hint="eastAsia"/>
                <w:sz w:val="21"/>
                <w:szCs w:val="21"/>
                <w:lang w:eastAsia="zh-CN"/>
              </w:rPr>
              <w:t>PC/IOS/</w:t>
            </w:r>
            <w:r>
              <w:rPr>
                <w:rFonts w:eastAsia="宋体" w:cs="宋体" w:hint="eastAsia"/>
                <w:sz w:val="21"/>
                <w:szCs w:val="21"/>
                <w:lang w:eastAsia="zh-CN"/>
              </w:rPr>
              <w:t>安卓</w:t>
            </w:r>
            <w:r>
              <w:rPr>
                <w:rFonts w:eastAsia="宋体" w:cs="宋体" w:hint="eastAsia"/>
                <w:sz w:val="21"/>
                <w:szCs w:val="21"/>
                <w:lang w:eastAsia="zh-CN"/>
              </w:rPr>
              <w:t>/</w:t>
            </w:r>
            <w:r>
              <w:rPr>
                <w:rFonts w:eastAsia="宋体" w:cs="宋体" w:hint="eastAsia"/>
                <w:sz w:val="21"/>
                <w:szCs w:val="21"/>
                <w:lang w:eastAsia="zh-CN"/>
              </w:rPr>
              <w:t>鸿蒙）、不同质量等级。（现场演示项）</w:t>
            </w:r>
          </w:p>
          <w:p w14:paraId="0354727A" w14:textId="77777777" w:rsidR="00A82C5A" w:rsidRDefault="00963B7D">
            <w:pPr>
              <w:pStyle w:val="10"/>
              <w:adjustRightInd w:val="0"/>
              <w:spacing w:beforeLines="50" w:before="156" w:afterLines="50" w:after="156" w:line="40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数据标准与规范</w:t>
            </w:r>
          </w:p>
          <w:p w14:paraId="59B854A3"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3.1</w:t>
            </w:r>
            <w:r>
              <w:rPr>
                <w:rFonts w:ascii="宋体" w:eastAsia="宋体" w:hAnsi="宋体" w:cs="宋体" w:hint="eastAsia"/>
                <w:szCs w:val="21"/>
              </w:rPr>
              <w:t>项目基本信息。应包含虚拟仿真项目名称、所属学校名称、所属中心名称、项目</w:t>
            </w:r>
            <w:r>
              <w:rPr>
                <w:rFonts w:ascii="宋体" w:eastAsia="宋体" w:hAnsi="宋体" w:cs="宋体" w:hint="eastAsia"/>
                <w:szCs w:val="21"/>
              </w:rPr>
              <w:lastRenderedPageBreak/>
              <w:t>负责人、资源分类、项目简介等信息。</w:t>
            </w:r>
          </w:p>
          <w:p w14:paraId="0F93D267"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3.2</w:t>
            </w:r>
            <w:r>
              <w:rPr>
                <w:rFonts w:ascii="宋体" w:eastAsia="宋体" w:hAnsi="宋体" w:cs="宋体" w:hint="eastAsia"/>
                <w:szCs w:val="21"/>
              </w:rPr>
              <w:t>项目预习信息。包含虚拟仿真项目名称、操作用户账号、预习文件名称、文件类型、文件访问地址。</w:t>
            </w:r>
          </w:p>
          <w:p w14:paraId="34FB7416"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3.3</w:t>
            </w:r>
            <w:r>
              <w:rPr>
                <w:rFonts w:ascii="宋体" w:eastAsia="宋体" w:hAnsi="宋体" w:cs="宋体" w:hint="eastAsia"/>
                <w:szCs w:val="21"/>
              </w:rPr>
              <w:t>项目自测信息。包含虚拟仿真项目名称、所属学校名称、操作用户</w:t>
            </w:r>
            <w:r>
              <w:rPr>
                <w:rFonts w:ascii="宋体" w:eastAsia="宋体" w:hAnsi="宋体" w:cs="宋体" w:hint="eastAsia"/>
                <w:szCs w:val="21"/>
              </w:rPr>
              <w:t>账号、自测成绩、自测时间、自测内容访问地址。</w:t>
            </w:r>
          </w:p>
          <w:p w14:paraId="2DA15273"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3.4</w:t>
            </w:r>
            <w:r>
              <w:rPr>
                <w:rFonts w:ascii="宋体" w:eastAsia="宋体" w:hAnsi="宋体" w:cs="宋体" w:hint="eastAsia"/>
                <w:szCs w:val="21"/>
              </w:rPr>
              <w:t>项目实验操作。包含虚拟仿真项目名称、所属学校名称、操作用户账号、实验操作地址路径。</w:t>
            </w:r>
          </w:p>
          <w:p w14:paraId="20E4D32E"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3.5</w:t>
            </w:r>
            <w:r>
              <w:rPr>
                <w:rFonts w:ascii="宋体" w:eastAsia="宋体" w:hAnsi="宋体" w:cs="宋体" w:hint="eastAsia"/>
                <w:szCs w:val="21"/>
              </w:rPr>
              <w:t>项目实验报告。包含虚拟仿真项目名称、所属学校名称、操作用户账号、报告名称、报告内容、报告添加时间、报告审核状态。</w:t>
            </w:r>
          </w:p>
          <w:p w14:paraId="0586578B"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3.6</w:t>
            </w:r>
            <w:r>
              <w:rPr>
                <w:rFonts w:ascii="宋体" w:eastAsia="宋体" w:hAnsi="宋体" w:cs="宋体" w:hint="eastAsia"/>
                <w:szCs w:val="21"/>
              </w:rPr>
              <w:t>项目资源评价。包含虚拟仿真项目名称、评价人姓名、评价人账号、评价内容、数据产生时间。</w:t>
            </w:r>
          </w:p>
          <w:p w14:paraId="0DD91C15" w14:textId="77777777" w:rsidR="00A82C5A" w:rsidRDefault="00963B7D">
            <w:pPr>
              <w:adjustRightInd w:val="0"/>
              <w:spacing w:beforeLines="50" w:before="156" w:afterLines="50" w:after="156" w:line="400" w:lineRule="exact"/>
              <w:jc w:val="left"/>
              <w:rPr>
                <w:rFonts w:ascii="宋体" w:eastAsia="宋体" w:hAnsi="宋体" w:cs="宋体"/>
                <w:b/>
                <w:szCs w:val="21"/>
              </w:rPr>
            </w:pPr>
            <w:r>
              <w:rPr>
                <w:rFonts w:ascii="宋体" w:eastAsia="宋体" w:hAnsi="宋体" w:cs="宋体" w:hint="eastAsia"/>
                <w:b/>
                <w:szCs w:val="21"/>
              </w:rPr>
              <w:t>（三）、</w:t>
            </w:r>
            <w:r>
              <w:rPr>
                <w:rFonts w:ascii="宋体" w:eastAsia="宋体" w:hAnsi="宋体" w:cs="宋体" w:hint="eastAsia"/>
                <w:b/>
                <w:kern w:val="0"/>
                <w:szCs w:val="21"/>
              </w:rPr>
              <w:t>苏薄荷生长预测虚拟仿真实验</w:t>
            </w:r>
            <w:r>
              <w:rPr>
                <w:rFonts w:ascii="宋体" w:eastAsia="宋体" w:hAnsi="宋体" w:cs="宋体" w:hint="eastAsia"/>
                <w:b/>
                <w:szCs w:val="21"/>
              </w:rPr>
              <w:t>改进和完善功能</w:t>
            </w:r>
          </w:p>
          <w:p w14:paraId="5D170807"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4.1</w:t>
            </w:r>
            <w:r>
              <w:rPr>
                <w:rFonts w:ascii="宋体" w:eastAsia="宋体" w:hAnsi="宋体" w:cs="宋体" w:hint="eastAsia"/>
                <w:szCs w:val="21"/>
              </w:rPr>
              <w:t>为了满足实验交付后的项目升级和改进，系统架构设计要能够提供一个开放的，零编程环境功能，教师可自主进行</w:t>
            </w:r>
            <w:r>
              <w:rPr>
                <w:rFonts w:ascii="宋体" w:eastAsia="宋体" w:hAnsi="宋体" w:cs="宋体" w:hint="eastAsia"/>
                <w:kern w:val="0"/>
                <w:szCs w:val="21"/>
              </w:rPr>
              <w:t>苏薄荷生</w:t>
            </w:r>
            <w:r>
              <w:rPr>
                <w:rFonts w:ascii="宋体" w:eastAsia="宋体" w:hAnsi="宋体" w:cs="宋体" w:hint="eastAsia"/>
                <w:kern w:val="0"/>
                <w:szCs w:val="21"/>
              </w:rPr>
              <w:t>长预测虚拟仿真实验</w:t>
            </w:r>
            <w:r>
              <w:rPr>
                <w:rFonts w:ascii="宋体" w:eastAsia="宋体" w:hAnsi="宋体" w:cs="宋体" w:hint="eastAsia"/>
                <w:szCs w:val="21"/>
              </w:rPr>
              <w:t>的基本要素和实验功能的改进和完善；</w:t>
            </w:r>
            <w:r>
              <w:rPr>
                <w:rFonts w:ascii="宋体" w:eastAsia="宋体" w:hAnsi="宋体" w:cs="宋体" w:hint="eastAsia"/>
                <w:szCs w:val="21"/>
              </w:rPr>
              <w:t xml:space="preserve"> </w:t>
            </w:r>
          </w:p>
          <w:p w14:paraId="579BC970"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4.2</w:t>
            </w:r>
            <w:r>
              <w:rPr>
                <w:rFonts w:ascii="宋体" w:eastAsia="宋体" w:hAnsi="宋体" w:cs="宋体" w:hint="eastAsia"/>
                <w:szCs w:val="21"/>
              </w:rPr>
              <w:t>工具能够制作实验相关的数据面板，如控制面板、实验报告、实验指南、模型和场景资源的修改和编辑；（现场演示项）</w:t>
            </w:r>
          </w:p>
          <w:p w14:paraId="0E8B9FD0"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4.3</w:t>
            </w:r>
            <w:r>
              <w:rPr>
                <w:rFonts w:ascii="宋体" w:eastAsia="宋体" w:hAnsi="宋体" w:cs="宋体" w:hint="eastAsia"/>
                <w:szCs w:val="21"/>
              </w:rPr>
              <w:t>可使用二次开发工具进行场景设计，使用提供的场景资源进行切换，支持静态场景与动态场景的编辑、材质替换以及天气的编辑；</w:t>
            </w:r>
            <w:r>
              <w:rPr>
                <w:rFonts w:ascii="宋体" w:eastAsia="宋体" w:hAnsi="宋体" w:cs="宋体" w:hint="eastAsia"/>
                <w:szCs w:val="21"/>
              </w:rPr>
              <w:t xml:space="preserve"> </w:t>
            </w:r>
          </w:p>
          <w:p w14:paraId="1D7EA50A"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4.4</w:t>
            </w:r>
            <w:r>
              <w:rPr>
                <w:rFonts w:ascii="宋体" w:eastAsia="宋体" w:hAnsi="宋体" w:cs="宋体" w:hint="eastAsia"/>
                <w:szCs w:val="21"/>
              </w:rPr>
              <w:t>交互编辑</w:t>
            </w:r>
            <w:r>
              <w:rPr>
                <w:rFonts w:ascii="宋体" w:eastAsia="宋体" w:hAnsi="宋体" w:cs="宋体" w:hint="eastAsia"/>
                <w:szCs w:val="21"/>
              </w:rPr>
              <w:t xml:space="preserve">: </w:t>
            </w:r>
            <w:r>
              <w:rPr>
                <w:rFonts w:ascii="宋体" w:eastAsia="宋体" w:hAnsi="宋体" w:cs="宋体" w:hint="eastAsia"/>
                <w:szCs w:val="21"/>
              </w:rPr>
              <w:t>老师可自主设计实验交互，设置环节初始状态、以及各种触发下的实验流程，结合二次开发工具功能块，实验多种交互效果，具体包括：特定逻辑编辑、内置功能编辑、虚拟仿真项目流程编辑、动作编辑；（现场演示项）</w:t>
            </w:r>
          </w:p>
          <w:p w14:paraId="1E8E2622"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4.5</w:t>
            </w:r>
            <w:r>
              <w:rPr>
                <w:rFonts w:ascii="宋体" w:eastAsia="宋体" w:hAnsi="宋体" w:cs="宋体" w:hint="eastAsia"/>
                <w:szCs w:val="21"/>
              </w:rPr>
              <w:t>提供丰富的</w:t>
            </w:r>
            <w:r>
              <w:rPr>
                <w:rFonts w:ascii="宋体" w:eastAsia="宋体" w:hAnsi="宋体" w:cs="宋体" w:hint="eastAsia"/>
                <w:szCs w:val="21"/>
              </w:rPr>
              <w:t>UI</w:t>
            </w:r>
            <w:r>
              <w:rPr>
                <w:rFonts w:ascii="宋体" w:eastAsia="宋体" w:hAnsi="宋体" w:cs="宋体" w:hint="eastAsia"/>
                <w:szCs w:val="21"/>
              </w:rPr>
              <w:t>模板库（不少于</w:t>
            </w:r>
            <w:r>
              <w:rPr>
                <w:rFonts w:ascii="宋体" w:eastAsia="宋体" w:hAnsi="宋体" w:cs="宋体" w:hint="eastAsia"/>
                <w:szCs w:val="21"/>
              </w:rPr>
              <w:t>100</w:t>
            </w:r>
            <w:r>
              <w:rPr>
                <w:rFonts w:ascii="宋体" w:eastAsia="宋体" w:hAnsi="宋体" w:cs="宋体" w:hint="eastAsia"/>
                <w:szCs w:val="21"/>
              </w:rPr>
              <w:t>套），支持</w:t>
            </w:r>
            <w:r>
              <w:rPr>
                <w:rFonts w:ascii="宋体" w:eastAsia="宋体" w:hAnsi="宋体" w:cs="宋体" w:hint="eastAsia"/>
                <w:szCs w:val="21"/>
              </w:rPr>
              <w:t>UI</w:t>
            </w:r>
            <w:r>
              <w:rPr>
                <w:rFonts w:ascii="宋体" w:eastAsia="宋体" w:hAnsi="宋体" w:cs="宋体" w:hint="eastAsia"/>
                <w:szCs w:val="21"/>
              </w:rPr>
              <w:t>风格一键替换，无需用户对</w:t>
            </w:r>
            <w:r>
              <w:rPr>
                <w:rFonts w:ascii="宋体" w:eastAsia="宋体" w:hAnsi="宋体" w:cs="宋体" w:hint="eastAsia"/>
                <w:szCs w:val="21"/>
              </w:rPr>
              <w:t>UI</w:t>
            </w:r>
            <w:r>
              <w:rPr>
                <w:rFonts w:ascii="宋体" w:eastAsia="宋体" w:hAnsi="宋体" w:cs="宋体" w:hint="eastAsia"/>
                <w:szCs w:val="21"/>
              </w:rPr>
              <w:t>控件逐个换图；（现场演示项）</w:t>
            </w:r>
          </w:p>
          <w:p w14:paraId="4E59B45A"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4.6</w:t>
            </w:r>
            <w:r>
              <w:rPr>
                <w:rFonts w:ascii="宋体" w:eastAsia="宋体" w:hAnsi="宋体" w:cs="宋体" w:hint="eastAsia"/>
                <w:szCs w:val="21"/>
              </w:rPr>
              <w:t>支持市面主流三维建模软件制作模型的导入，至少包含以下格式：</w:t>
            </w:r>
            <w:r>
              <w:rPr>
                <w:rFonts w:ascii="宋体" w:eastAsia="宋体" w:hAnsi="宋体" w:cs="宋体" w:hint="eastAsia"/>
                <w:szCs w:val="21"/>
              </w:rPr>
              <w:t>fbx</w:t>
            </w:r>
            <w:r>
              <w:rPr>
                <w:rFonts w:ascii="宋体" w:eastAsia="宋体" w:hAnsi="宋体" w:cs="宋体" w:hint="eastAsia"/>
                <w:szCs w:val="21"/>
              </w:rPr>
              <w:t>、</w:t>
            </w:r>
            <w:r>
              <w:rPr>
                <w:rFonts w:ascii="宋体" w:eastAsia="宋体" w:hAnsi="宋体" w:cs="宋体" w:hint="eastAsia"/>
                <w:szCs w:val="21"/>
              </w:rPr>
              <w:t>obj</w:t>
            </w:r>
            <w:r>
              <w:rPr>
                <w:rFonts w:ascii="宋体" w:eastAsia="宋体" w:hAnsi="宋体" w:cs="宋体" w:hint="eastAsia"/>
                <w:szCs w:val="21"/>
              </w:rPr>
              <w:t>、</w:t>
            </w:r>
            <w:r>
              <w:rPr>
                <w:rFonts w:ascii="宋体" w:eastAsia="宋体" w:hAnsi="宋体" w:cs="宋体" w:hint="eastAsia"/>
                <w:szCs w:val="21"/>
              </w:rPr>
              <w:t>gltf2</w:t>
            </w:r>
            <w:r>
              <w:rPr>
                <w:rFonts w:ascii="宋体" w:eastAsia="宋体" w:hAnsi="宋体" w:cs="宋体" w:hint="eastAsia"/>
                <w:szCs w:val="21"/>
              </w:rPr>
              <w:t>、</w:t>
            </w:r>
            <w:r>
              <w:rPr>
                <w:rFonts w:ascii="宋体" w:eastAsia="宋体" w:hAnsi="宋体" w:cs="宋体" w:hint="eastAsia"/>
                <w:szCs w:val="21"/>
              </w:rPr>
              <w:t>stl</w:t>
            </w:r>
            <w:r>
              <w:rPr>
                <w:rFonts w:ascii="宋体" w:eastAsia="宋体" w:hAnsi="宋体" w:cs="宋体" w:hint="eastAsia"/>
                <w:szCs w:val="21"/>
              </w:rPr>
              <w:t>、</w:t>
            </w:r>
            <w:r>
              <w:rPr>
                <w:rFonts w:ascii="宋体" w:eastAsia="宋体" w:hAnsi="宋体" w:cs="宋体" w:hint="eastAsia"/>
                <w:szCs w:val="21"/>
              </w:rPr>
              <w:t>ply</w:t>
            </w:r>
            <w:r>
              <w:rPr>
                <w:rFonts w:ascii="宋体" w:eastAsia="宋体" w:hAnsi="宋体" w:cs="宋体" w:hint="eastAsia"/>
                <w:szCs w:val="21"/>
              </w:rPr>
              <w:t>、</w:t>
            </w:r>
            <w:r>
              <w:rPr>
                <w:rFonts w:ascii="宋体" w:eastAsia="宋体" w:hAnsi="宋体" w:cs="宋体" w:hint="eastAsia"/>
                <w:szCs w:val="21"/>
              </w:rPr>
              <w:t>3mf</w:t>
            </w:r>
            <w:r>
              <w:rPr>
                <w:rFonts w:ascii="宋体" w:eastAsia="宋体" w:hAnsi="宋体" w:cs="宋体" w:hint="eastAsia"/>
                <w:szCs w:val="21"/>
              </w:rPr>
              <w:t>，并支持导入模型材质的编辑与替换；</w:t>
            </w:r>
          </w:p>
          <w:p w14:paraId="6268BDE8" w14:textId="77777777" w:rsidR="00A82C5A" w:rsidRDefault="00963B7D">
            <w:pPr>
              <w:adjustRightInd w:val="0"/>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4.7</w:t>
            </w:r>
            <w:r>
              <w:rPr>
                <w:rFonts w:ascii="宋体" w:eastAsia="宋体" w:hAnsi="宋体" w:cs="宋体" w:hint="eastAsia"/>
                <w:szCs w:val="21"/>
              </w:rPr>
              <w:t>交互编辑全程无代码，系统提供不少于</w:t>
            </w:r>
            <w:r>
              <w:rPr>
                <w:rFonts w:ascii="宋体" w:eastAsia="宋体" w:hAnsi="宋体" w:cs="宋体" w:hint="eastAsia"/>
                <w:szCs w:val="21"/>
              </w:rPr>
              <w:t>50</w:t>
            </w:r>
            <w:r>
              <w:rPr>
                <w:rFonts w:ascii="宋体" w:eastAsia="宋体" w:hAnsi="宋体" w:cs="宋体" w:hint="eastAsia"/>
                <w:szCs w:val="21"/>
              </w:rPr>
              <w:t>项事件触发方式，不少于</w:t>
            </w:r>
            <w:r>
              <w:rPr>
                <w:rFonts w:ascii="宋体" w:eastAsia="宋体" w:hAnsi="宋体" w:cs="宋体" w:hint="eastAsia"/>
                <w:szCs w:val="21"/>
              </w:rPr>
              <w:t>100</w:t>
            </w:r>
            <w:r>
              <w:rPr>
                <w:rFonts w:ascii="宋体" w:eastAsia="宋体" w:hAnsi="宋体" w:cs="宋体" w:hint="eastAsia"/>
                <w:szCs w:val="21"/>
              </w:rPr>
              <w:t>个常用功能块，不少于</w:t>
            </w:r>
            <w:r>
              <w:rPr>
                <w:rFonts w:ascii="宋体" w:eastAsia="宋体" w:hAnsi="宋体" w:cs="宋体" w:hint="eastAsia"/>
                <w:szCs w:val="21"/>
              </w:rPr>
              <w:t>150</w:t>
            </w:r>
            <w:r>
              <w:rPr>
                <w:rFonts w:ascii="宋体" w:eastAsia="宋体" w:hAnsi="宋体" w:cs="宋体" w:hint="eastAsia"/>
                <w:szCs w:val="21"/>
              </w:rPr>
              <w:t>个常用逻辑块；（现场演示项）</w:t>
            </w:r>
          </w:p>
          <w:p w14:paraId="674A459F" w14:textId="77777777" w:rsidR="00A82C5A" w:rsidRDefault="00963B7D">
            <w:pPr>
              <w:pStyle w:val="a5"/>
              <w:spacing w:beforeLines="50" w:before="156" w:afterLines="50" w:after="156" w:line="400" w:lineRule="exact"/>
              <w:ind w:firstLine="420"/>
              <w:rPr>
                <w:rFonts w:eastAsia="宋体" w:cs="宋体"/>
                <w:sz w:val="21"/>
                <w:szCs w:val="21"/>
              </w:rPr>
            </w:pPr>
            <w:r>
              <w:rPr>
                <w:rFonts w:eastAsia="宋体" w:cs="宋体" w:hint="eastAsia"/>
                <w:sz w:val="21"/>
                <w:szCs w:val="21"/>
              </w:rPr>
              <w:t>★</w:t>
            </w:r>
            <w:r>
              <w:rPr>
                <w:rFonts w:eastAsia="宋体" w:cs="宋体" w:hint="eastAsia"/>
                <w:sz w:val="21"/>
                <w:szCs w:val="21"/>
              </w:rPr>
              <w:t>4.8</w:t>
            </w:r>
            <w:r>
              <w:rPr>
                <w:rFonts w:eastAsia="宋体" w:cs="宋体" w:hint="eastAsia"/>
                <w:sz w:val="21"/>
                <w:szCs w:val="21"/>
              </w:rPr>
              <w:t>支持实验数据的捕获以及实验评价指标设计等功能，与国家虚拟仿真项目运</w:t>
            </w:r>
            <w:r>
              <w:rPr>
                <w:rFonts w:eastAsia="宋体" w:cs="宋体" w:hint="eastAsia"/>
                <w:sz w:val="21"/>
                <w:szCs w:val="21"/>
              </w:rPr>
              <w:lastRenderedPageBreak/>
              <w:t>营系统（</w:t>
            </w:r>
            <w:r>
              <w:rPr>
                <w:rFonts w:eastAsia="宋体" w:cs="宋体" w:hint="eastAsia"/>
                <w:sz w:val="21"/>
                <w:szCs w:val="21"/>
              </w:rPr>
              <w:t>ilab</w:t>
            </w:r>
            <w:r>
              <w:rPr>
                <w:rFonts w:eastAsia="宋体" w:cs="宋体" w:hint="eastAsia"/>
                <w:sz w:val="21"/>
                <w:szCs w:val="21"/>
              </w:rPr>
              <w:t>实验空间）数据接口接通和数据接口升级。</w:t>
            </w:r>
          </w:p>
          <w:p w14:paraId="275DC486" w14:textId="77777777" w:rsidR="00A82C5A" w:rsidRDefault="00963B7D">
            <w:pPr>
              <w:pStyle w:val="a5"/>
              <w:spacing w:line="400" w:lineRule="exact"/>
              <w:ind w:firstLineChars="0" w:firstLine="0"/>
              <w:rPr>
                <w:rFonts w:eastAsia="宋体" w:cs="宋体"/>
                <w:b/>
                <w:sz w:val="21"/>
                <w:szCs w:val="21"/>
              </w:rPr>
            </w:pPr>
            <w:r>
              <w:rPr>
                <w:rFonts w:eastAsia="宋体" w:cs="宋体" w:hint="eastAsia"/>
                <w:b/>
                <w:sz w:val="21"/>
                <w:szCs w:val="21"/>
              </w:rPr>
              <w:t>（四）实验环节仿真设计</w:t>
            </w:r>
          </w:p>
          <w:p w14:paraId="53490166" w14:textId="77777777" w:rsidR="00A82C5A" w:rsidRDefault="00963B7D">
            <w:pPr>
              <w:spacing w:beforeLines="50" w:before="156" w:afterLines="50" w:after="156" w:line="400" w:lineRule="exact"/>
              <w:rPr>
                <w:rFonts w:ascii="宋体" w:eastAsia="宋体" w:hAnsi="宋体" w:cs="宋体"/>
                <w:szCs w:val="21"/>
              </w:rPr>
            </w:pPr>
            <w:r>
              <w:rPr>
                <w:rFonts w:ascii="宋体" w:eastAsia="宋体" w:hAnsi="宋体" w:cs="宋体" w:hint="eastAsia"/>
                <w:szCs w:val="21"/>
              </w:rPr>
              <w:t>第一环节：苏薄荷的认知</w:t>
            </w:r>
          </w:p>
          <w:p w14:paraId="32C79327" w14:textId="77777777" w:rsidR="00A82C5A" w:rsidRDefault="00963B7D">
            <w:pPr>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生长环境认知：本环节主要认知适合苏薄荷生长的温度、湿度、光照强度及苏薄荷每个阶段的生长状态；</w:t>
            </w:r>
            <w:r>
              <w:rPr>
                <w:rFonts w:ascii="宋体" w:eastAsia="宋体" w:hAnsi="宋体" w:cs="宋体" w:hint="eastAsia"/>
                <w:szCs w:val="21"/>
              </w:rPr>
              <w:t xml:space="preserve"> </w:t>
            </w:r>
          </w:p>
          <w:p w14:paraId="2D6504A1" w14:textId="77777777" w:rsidR="00A82C5A" w:rsidRDefault="00963B7D">
            <w:pPr>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对时序算法的概念及</w:t>
            </w:r>
            <w:r>
              <w:rPr>
                <w:rFonts w:ascii="宋体" w:eastAsia="宋体" w:hAnsi="宋体" w:cs="宋体" w:hint="eastAsia"/>
                <w:szCs w:val="21"/>
              </w:rPr>
              <w:t>AR</w:t>
            </w:r>
            <w:r>
              <w:rPr>
                <w:rFonts w:ascii="宋体" w:eastAsia="宋体" w:hAnsi="宋体" w:cs="宋体" w:hint="eastAsia"/>
                <w:szCs w:val="21"/>
              </w:rPr>
              <w:t>、</w:t>
            </w:r>
            <w:r>
              <w:rPr>
                <w:rFonts w:ascii="宋体" w:eastAsia="宋体" w:hAnsi="宋体" w:cs="宋体" w:hint="eastAsia"/>
                <w:szCs w:val="21"/>
              </w:rPr>
              <w:t>MA</w:t>
            </w:r>
            <w:r>
              <w:rPr>
                <w:rFonts w:ascii="宋体" w:eastAsia="宋体" w:hAnsi="宋体" w:cs="宋体" w:hint="eastAsia"/>
                <w:szCs w:val="21"/>
              </w:rPr>
              <w:t>、</w:t>
            </w:r>
            <w:r>
              <w:rPr>
                <w:rFonts w:ascii="宋体" w:eastAsia="宋体" w:hAnsi="宋体" w:cs="宋体" w:hint="eastAsia"/>
                <w:szCs w:val="21"/>
              </w:rPr>
              <w:t>ARIMA</w:t>
            </w:r>
            <w:r>
              <w:rPr>
                <w:rFonts w:ascii="宋体" w:eastAsia="宋体" w:hAnsi="宋体" w:cs="宋体" w:hint="eastAsia"/>
                <w:szCs w:val="21"/>
              </w:rPr>
              <w:t>三种算法特点和执行流程进行认知；</w:t>
            </w:r>
            <w:r>
              <w:rPr>
                <w:rFonts w:ascii="宋体" w:eastAsia="宋体" w:hAnsi="宋体" w:cs="宋体" w:hint="eastAsia"/>
                <w:szCs w:val="21"/>
              </w:rPr>
              <w:t xml:space="preserve"> </w:t>
            </w:r>
          </w:p>
          <w:p w14:paraId="176F5694" w14:textId="77777777" w:rsidR="00A82C5A" w:rsidRDefault="00963B7D">
            <w:pPr>
              <w:spacing w:beforeLines="50" w:before="156" w:afterLines="50" w:after="156" w:line="400" w:lineRule="exact"/>
              <w:rPr>
                <w:rFonts w:ascii="宋体" w:eastAsia="宋体" w:hAnsi="宋体" w:cs="宋体"/>
                <w:szCs w:val="21"/>
              </w:rPr>
            </w:pPr>
            <w:r>
              <w:rPr>
                <w:rFonts w:ascii="宋体" w:eastAsia="宋体" w:hAnsi="宋体" w:cs="宋体" w:hint="eastAsia"/>
                <w:szCs w:val="21"/>
              </w:rPr>
              <w:t>第二环节</w:t>
            </w:r>
            <w:r>
              <w:rPr>
                <w:rFonts w:ascii="宋体" w:eastAsia="宋体" w:hAnsi="宋体" w:cs="宋体" w:hint="eastAsia"/>
                <w:szCs w:val="21"/>
              </w:rPr>
              <w:t>:</w:t>
            </w:r>
            <w:r>
              <w:rPr>
                <w:rFonts w:ascii="宋体" w:eastAsia="宋体" w:hAnsi="宋体" w:cs="宋体" w:hint="eastAsia"/>
                <w:szCs w:val="21"/>
              </w:rPr>
              <w:t>苏薄荷的生长管理</w:t>
            </w:r>
          </w:p>
          <w:p w14:paraId="25592730" w14:textId="77777777" w:rsidR="00A82C5A" w:rsidRDefault="00963B7D">
            <w:pPr>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苗根栽种</w:t>
            </w:r>
            <w:r>
              <w:rPr>
                <w:rFonts w:ascii="宋体" w:eastAsia="宋体" w:hAnsi="宋体" w:cs="宋体" w:hint="eastAsia"/>
                <w:szCs w:val="21"/>
              </w:rPr>
              <w:t>:</w:t>
            </w:r>
            <w:r>
              <w:rPr>
                <w:rFonts w:ascii="宋体" w:eastAsia="宋体" w:hAnsi="宋体" w:cs="宋体" w:hint="eastAsia"/>
                <w:szCs w:val="21"/>
              </w:rPr>
              <w:t>该子环节主要是通过“选地、施肥、整地、栽种”四个步骤展开，学生根据认知环节内容，选择适合苏薄荷生长的地块，施相应的肥料，选择整地的工具，在栽种过程中，可输入苗根的数量，作为实验记录；</w:t>
            </w:r>
          </w:p>
          <w:p w14:paraId="6841117C" w14:textId="77777777" w:rsidR="00A82C5A" w:rsidRDefault="00963B7D">
            <w:pPr>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生长条件的设定</w:t>
            </w:r>
            <w:r>
              <w:rPr>
                <w:rFonts w:ascii="宋体" w:eastAsia="宋体" w:hAnsi="宋体" w:cs="宋体" w:hint="eastAsia"/>
                <w:szCs w:val="21"/>
              </w:rPr>
              <w:t>：该子环节主要控制苏薄荷在生长过程中的温度、光照强度、适度；学生可根据实际情况，在不同月份设定不同的苏薄荷的生长条件；</w:t>
            </w:r>
          </w:p>
          <w:p w14:paraId="2348B2F7" w14:textId="77777777" w:rsidR="00A82C5A" w:rsidRDefault="00963B7D">
            <w:pPr>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生长判断：该子环节主要是苏薄荷在栽种后实施不同的管理措施，苏薄荷的生长状态会发生变化。观察施肥，打药，对苏薄荷生长产生的影响；</w:t>
            </w:r>
          </w:p>
          <w:p w14:paraId="37067D4E" w14:textId="77777777" w:rsidR="00A82C5A" w:rsidRDefault="00963B7D">
            <w:pPr>
              <w:spacing w:beforeLines="50" w:before="156" w:afterLines="50" w:after="156" w:line="400" w:lineRule="exact"/>
              <w:rPr>
                <w:rFonts w:ascii="宋体" w:eastAsia="宋体" w:hAnsi="宋体" w:cs="宋体"/>
                <w:szCs w:val="21"/>
              </w:rPr>
            </w:pPr>
            <w:r>
              <w:rPr>
                <w:rFonts w:ascii="宋体" w:eastAsia="宋体" w:hAnsi="宋体" w:cs="宋体" w:hint="eastAsia"/>
                <w:szCs w:val="21"/>
              </w:rPr>
              <w:t>第三环节；苏薄荷的生长状态</w:t>
            </w:r>
          </w:p>
          <w:p w14:paraId="0F01EF6F" w14:textId="77777777" w:rsidR="00A82C5A" w:rsidRDefault="00963B7D">
            <w:pPr>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生长阶段的预测：该子环节是根据前面环节中得到苏薄荷的叶片数量，高度数据来判断该月份苏薄荷的叶片数量和高度。</w:t>
            </w:r>
          </w:p>
          <w:p w14:paraId="584B1D7C" w14:textId="77777777" w:rsidR="00A82C5A" w:rsidRDefault="00963B7D">
            <w:pPr>
              <w:spacing w:beforeLines="50" w:before="156" w:afterLines="50" w:after="156" w:line="400" w:lineRule="exact"/>
              <w:ind w:firstLineChars="200" w:firstLine="420"/>
              <w:rPr>
                <w:rFonts w:ascii="宋体" w:eastAsia="宋体" w:hAnsi="宋体" w:cs="宋体"/>
                <w:szCs w:val="21"/>
              </w:rPr>
            </w:pPr>
            <w:r>
              <w:rPr>
                <w:rFonts w:ascii="宋体" w:eastAsia="宋体" w:hAnsi="宋体" w:cs="宋体" w:hint="eastAsia"/>
                <w:szCs w:val="21"/>
              </w:rPr>
              <w:t>产量模拟训练：该子环节主要是根据前面环节设定的环境参数，和苏薄荷的叶片数量，高度通过算法预测苏薄荷产量；</w:t>
            </w:r>
          </w:p>
          <w:p w14:paraId="63BB612F" w14:textId="1D4C32AE" w:rsidR="00A82C5A" w:rsidRPr="00B45499" w:rsidRDefault="00963B7D" w:rsidP="00E15DC2">
            <w:pPr>
              <w:spacing w:beforeLines="50" w:before="156" w:afterLines="50" w:after="156" w:line="400" w:lineRule="exact"/>
              <w:ind w:firstLineChars="200" w:firstLine="420"/>
              <w:rPr>
                <w:rFonts w:ascii="宋体" w:eastAsia="宋体" w:hAnsi="宋体"/>
                <w:sz w:val="28"/>
                <w:szCs w:val="28"/>
              </w:rPr>
            </w:pPr>
            <w:r>
              <w:rPr>
                <w:rFonts w:ascii="宋体" w:eastAsia="宋体" w:hAnsi="宋体" w:cs="宋体" w:hint="eastAsia"/>
                <w:szCs w:val="21"/>
              </w:rPr>
              <w:t>产量模型测试：该子环节主要是对苏薄荷进行收割，烘烤，得出最终产量，并和预测产量及所栽种的苗根数量进行对比；</w:t>
            </w:r>
          </w:p>
          <w:p w14:paraId="580899C7" w14:textId="7C146518" w:rsidR="00A82C5A" w:rsidRDefault="00963B7D" w:rsidP="00963B7D">
            <w:pPr>
              <w:rPr>
                <w:rFonts w:ascii="宋体" w:eastAsia="宋体" w:hAnsi="宋体"/>
                <w:sz w:val="28"/>
                <w:szCs w:val="28"/>
              </w:rPr>
            </w:pPr>
            <w:r>
              <w:rPr>
                <w:rFonts w:ascii="宋体" w:eastAsia="宋体" w:hAnsi="宋体" w:hint="eastAsia"/>
                <w:sz w:val="28"/>
                <w:szCs w:val="28"/>
              </w:rPr>
              <w:t xml:space="preserve">　　　　　　　　　　　　　　　　　　 </w:t>
            </w:r>
          </w:p>
        </w:tc>
      </w:tr>
    </w:tbl>
    <w:p w14:paraId="7C313328" w14:textId="3E21E00C" w:rsidR="00A82C5A" w:rsidRDefault="00963B7D">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bookmarkStart w:id="0" w:name="_GoBack"/>
      <w:bookmarkEnd w:id="0"/>
    </w:p>
    <w:sectPr w:rsidR="00A82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4MDA1OGNkM2UyZWEwODEzYWY3NWQ0ZGE5MWUyMjcifQ=="/>
  </w:docVars>
  <w:rsids>
    <w:rsidRoot w:val="009917FC"/>
    <w:rsid w:val="00077372"/>
    <w:rsid w:val="0011746F"/>
    <w:rsid w:val="00160770"/>
    <w:rsid w:val="00213C92"/>
    <w:rsid w:val="003372BD"/>
    <w:rsid w:val="00561F19"/>
    <w:rsid w:val="005B2DC1"/>
    <w:rsid w:val="00771AA9"/>
    <w:rsid w:val="007C0E4C"/>
    <w:rsid w:val="0085369C"/>
    <w:rsid w:val="00963B7D"/>
    <w:rsid w:val="0097077C"/>
    <w:rsid w:val="009917FC"/>
    <w:rsid w:val="00A82C5A"/>
    <w:rsid w:val="00B2068E"/>
    <w:rsid w:val="00B45499"/>
    <w:rsid w:val="00E15DC2"/>
    <w:rsid w:val="00F06A8F"/>
    <w:rsid w:val="2875727A"/>
    <w:rsid w:val="6046552F"/>
    <w:rsid w:val="61C60235"/>
    <w:rsid w:val="74CF3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82E4"/>
  <w15:docId w15:val="{111E18BA-1717-4A7E-81DB-F8CB4C5C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semiHidden/>
    <w:qFormat/>
    <w:pPr>
      <w:ind w:left="1260"/>
    </w:pPr>
  </w:style>
  <w:style w:type="paragraph" w:styleId="a3">
    <w:name w:val="Body Text"/>
    <w:basedOn w:val="a"/>
    <w:next w:val="a"/>
    <w:unhideWhenUsed/>
    <w:qFormat/>
    <w:pPr>
      <w:ind w:left="998"/>
    </w:pPr>
    <w:rPr>
      <w:rFonts w:ascii="宋体" w:hAnsi="宋体"/>
    </w:rPr>
  </w:style>
  <w:style w:type="paragraph" w:styleId="a4">
    <w:name w:val="Body Text First Indent"/>
    <w:basedOn w:val="a3"/>
    <w:qFormat/>
    <w:pPr>
      <w:spacing w:after="120"/>
      <w:ind w:left="0" w:firstLineChars="100" w:firstLine="420"/>
      <w:jc w:val="left"/>
    </w:pPr>
    <w:rPr>
      <w:rFonts w:eastAsia="Calibri"/>
      <w:sz w:val="22"/>
      <w:lang w:eastAsia="en-US"/>
    </w:rPr>
  </w:style>
  <w:style w:type="paragraph" w:customStyle="1" w:styleId="1">
    <w:name w:val="样式1"/>
    <w:basedOn w:val="a"/>
    <w:qFormat/>
    <w:rPr>
      <w:rFonts w:ascii="Arial" w:hAnsi="Arial"/>
    </w:rPr>
  </w:style>
  <w:style w:type="paragraph" w:customStyle="1" w:styleId="a5">
    <w:name w:val="首行缩进"/>
    <w:basedOn w:val="a"/>
    <w:uiPriority w:val="99"/>
    <w:qFormat/>
    <w:pPr>
      <w:spacing w:line="360" w:lineRule="auto"/>
      <w:ind w:firstLineChars="200" w:firstLine="480"/>
      <w:jc w:val="left"/>
    </w:pPr>
    <w:rPr>
      <w:rFonts w:ascii="宋体" w:hAnsi="宋体"/>
      <w:sz w:val="24"/>
    </w:rPr>
  </w:style>
  <w:style w:type="paragraph" w:customStyle="1" w:styleId="10">
    <w:name w:val="列表段落1"/>
    <w:basedOn w:val="a"/>
    <w:uiPriority w:val="34"/>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595</Words>
  <Characters>3392</Characters>
  <Application>Microsoft Office Word</Application>
  <DocSecurity>0</DocSecurity>
  <Lines>28</Lines>
  <Paragraphs>7</Paragraphs>
  <ScaleCrop>false</ScaleCrop>
  <Company>南京中医药大学</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6</cp:revision>
  <dcterms:created xsi:type="dcterms:W3CDTF">2022-11-16T06:31:00Z</dcterms:created>
  <dcterms:modified xsi:type="dcterms:W3CDTF">2022-11-28T10:29:00Z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38CAC484F9B740E989E6ADEE1218442B</vt:lpwstr>
  </property>
</Properties>
</file>