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424"/>
        <w:gridCol w:w="6615"/>
      </w:tblGrid>
      <w:tr w:rsidR="00704C6B" w:rsidRPr="009917FC" w:rsidTr="00704C6B">
        <w:trPr>
          <w:trHeight w:val="589"/>
        </w:trPr>
        <w:tc>
          <w:tcPr>
            <w:tcW w:w="9039" w:type="dxa"/>
            <w:gridSpan w:val="2"/>
          </w:tcPr>
          <w:p w:rsidR="00704C6B" w:rsidRPr="009917FC" w:rsidRDefault="00704C6B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04C6B" w:rsidRPr="00A61FB6" w:rsidRDefault="00704C6B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C10113">
              <w:rPr>
                <w:rFonts w:ascii="宋体" w:eastAsia="宋体" w:hAnsi="宋体"/>
                <w:sz w:val="28"/>
                <w:szCs w:val="28"/>
              </w:rPr>
              <w:t>自动滴定仪</w:t>
            </w:r>
            <w:r w:rsidR="00CB2238">
              <w:rPr>
                <w:rFonts w:ascii="宋体" w:eastAsia="宋体" w:hAnsi="宋体" w:hint="eastAsia"/>
                <w:sz w:val="28"/>
                <w:szCs w:val="28"/>
              </w:rPr>
              <w:t>（2台）</w:t>
            </w:r>
          </w:p>
          <w:p w:rsidR="00704C6B" w:rsidRPr="009917FC" w:rsidRDefault="00704C6B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04C6B" w:rsidRPr="009917FC" w:rsidRDefault="00704C6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  <w:tr w:rsidR="007C0E4C" w:rsidRPr="009917FC" w:rsidTr="00704C6B">
        <w:trPr>
          <w:trHeight w:val="1200"/>
        </w:trPr>
        <w:tc>
          <w:tcPr>
            <w:tcW w:w="2424" w:type="dxa"/>
          </w:tcPr>
          <w:p w:rsidR="007C0E4C" w:rsidRPr="009917FC" w:rsidRDefault="00704C6B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6615" w:type="dxa"/>
          </w:tcPr>
          <w:p w:rsidR="007C0E4C" w:rsidRPr="00A61FB6" w:rsidRDefault="00704C6B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</w:t>
            </w:r>
          </w:p>
        </w:tc>
      </w:tr>
      <w:tr w:rsidR="009917FC" w:rsidRPr="009917FC" w:rsidTr="00704C6B">
        <w:trPr>
          <w:trHeight w:val="1276"/>
        </w:trPr>
        <w:tc>
          <w:tcPr>
            <w:tcW w:w="9039" w:type="dxa"/>
            <w:gridSpan w:val="2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28783B" w:rsidRPr="004C6CF0" w:rsidRDefault="0028783B" w:rsidP="00C10113">
            <w:pPr>
              <w:rPr>
                <w:rFonts w:ascii="宋体" w:eastAsia="宋体" w:hAnsi="宋体"/>
                <w:sz w:val="28"/>
                <w:szCs w:val="28"/>
              </w:rPr>
            </w:pPr>
            <w:r w:rsidRPr="004C6CF0">
              <w:rPr>
                <w:rFonts w:ascii="宋体" w:hAnsi="宋体" w:cs="宋体" w:hint="eastAsia"/>
                <w:sz w:val="28"/>
                <w:szCs w:val="28"/>
              </w:rPr>
              <w:t>适用</w:t>
            </w:r>
            <w:r w:rsidR="00C10113">
              <w:rPr>
                <w:rFonts w:ascii="宋体" w:hAnsi="宋体" w:cs="宋体" w:hint="eastAsia"/>
                <w:sz w:val="28"/>
                <w:szCs w:val="28"/>
              </w:rPr>
              <w:t>药物</w:t>
            </w:r>
            <w:r w:rsidR="00A61FB6">
              <w:rPr>
                <w:rFonts w:ascii="宋体" w:hAnsi="宋体" w:cs="宋体" w:hint="eastAsia"/>
                <w:sz w:val="28"/>
                <w:szCs w:val="28"/>
              </w:rPr>
              <w:t>化学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实验教学</w:t>
            </w:r>
            <w:r w:rsidR="004C6CF0" w:rsidRPr="004C6CF0">
              <w:rPr>
                <w:rFonts w:ascii="宋体" w:hAnsi="宋体" w:cs="宋体" w:hint="eastAsia"/>
                <w:sz w:val="28"/>
                <w:szCs w:val="28"/>
              </w:rPr>
              <w:t>使用</w:t>
            </w:r>
            <w:r w:rsidRPr="004C6CF0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9917FC" w:rsidRPr="009917FC" w:rsidTr="00704C6B">
        <w:trPr>
          <w:trHeight w:val="7002"/>
        </w:trPr>
        <w:tc>
          <w:tcPr>
            <w:tcW w:w="9039" w:type="dxa"/>
            <w:gridSpan w:val="2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859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431"/>
              <w:gridCol w:w="2142"/>
              <w:gridCol w:w="4343"/>
            </w:tblGrid>
            <w:tr w:rsidR="00C10113" w:rsidTr="00C10113">
              <w:trPr>
                <w:trHeight w:val="361"/>
                <w:jc w:val="center"/>
              </w:trPr>
              <w:tc>
                <w:tcPr>
                  <w:tcW w:w="425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型号</w:t>
                  </w:r>
                </w:p>
                <w:p w:rsidR="00C10113" w:rsidRDefault="00C10113" w:rsidP="0023619F">
                  <w:pPr>
                    <w:autoSpaceDN w:val="0"/>
                    <w:ind w:firstLineChars="337" w:firstLine="607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技术参数</w:t>
                  </w:r>
                </w:p>
              </w:tc>
              <w:tc>
                <w:tcPr>
                  <w:tcW w:w="4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18"/>
                      <w:szCs w:val="18"/>
                    </w:rPr>
                    <w:t>ZDJ-5B-Y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滴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定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装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置</w:t>
                  </w:r>
                </w:p>
              </w:tc>
              <w:tc>
                <w:tcPr>
                  <w:tcW w:w="1431" w:type="dxa"/>
                  <w:vMerge w:val="restart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容量滴定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单元</w:t>
                  </w: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滴定分析重复性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0.2%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滴定容量允许误差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10ml滴定管：±0.025ml；20ml滴定管：±0.035ml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滴定体积精度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0.0001mL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滴定管分辨率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1/30000</w:t>
                  </w:r>
                </w:p>
              </w:tc>
            </w:tr>
            <w:tr w:rsidR="00C10113" w:rsidTr="00C10113">
              <w:trPr>
                <w:trHeight w:val="294"/>
                <w:jc w:val="center"/>
              </w:trPr>
              <w:tc>
                <w:tcPr>
                  <w:tcW w:w="68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测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量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装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置</w:t>
                  </w:r>
                </w:p>
              </w:tc>
              <w:tc>
                <w:tcPr>
                  <w:tcW w:w="1431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电位滴定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模块</w:t>
                  </w: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测量范围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-1999.99～1999.99</w:t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）mV，（0.000～</w:t>
                  </w: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20</w:t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.000）pH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分辨率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0.</w:t>
                  </w: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1mV，0.0</w:t>
                  </w:r>
                  <w:r>
                    <w:rPr>
                      <w:rFonts w:cstheme="minorHAnsi" w:hint="eastAsia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1pH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基本误差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±0.03%FS，±0.01pH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稳定性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（±0.3mV±1个字）/3h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永停滴定</w:t>
                  </w:r>
                </w:p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模块</w:t>
                  </w: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测量范围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极化电压:100mV、50mV、30mV；</w:t>
                  </w:r>
                </w:p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极化电流范围：（0～199.9）μA、（0～19.99）μA、（0～1.999）μA、（0～0.199）μA；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基本误差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极化电流检测误差：±2.5% FS</w:t>
                  </w:r>
                </w:p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极化电压误差：±10mV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温度补偿</w:t>
                  </w: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测量范围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（-5.0～105.0）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sz w:val="18"/>
                      <w:szCs w:val="18"/>
                    </w:rPr>
                    <w:t>℃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分辨率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0.1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sz w:val="18"/>
                      <w:szCs w:val="18"/>
                    </w:rPr>
                    <w:t>℃</w:t>
                  </w:r>
                </w:p>
              </w:tc>
            </w:tr>
            <w:tr w:rsidR="00C10113" w:rsidTr="00C10113">
              <w:trPr>
                <w:trHeight w:val="309"/>
                <w:jc w:val="center"/>
              </w:trPr>
              <w:tc>
                <w:tcPr>
                  <w:tcW w:w="6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left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基本误差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±0.3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sz w:val="18"/>
                      <w:szCs w:val="18"/>
                    </w:rPr>
                    <w:t>℃</w:t>
                  </w:r>
                </w:p>
              </w:tc>
            </w:tr>
            <w:tr w:rsidR="00C10113" w:rsidTr="00C10113">
              <w:trPr>
                <w:trHeight w:val="294"/>
                <w:jc w:val="center"/>
              </w:trPr>
              <w:tc>
                <w:tcPr>
                  <w:tcW w:w="4252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电源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AC（220±22）V；频率（50±1）Hz</w:t>
                  </w:r>
                </w:p>
              </w:tc>
            </w:tr>
            <w:tr w:rsidR="00C10113" w:rsidTr="00704C6B">
              <w:trPr>
                <w:trHeight w:val="60"/>
                <w:jc w:val="center"/>
              </w:trPr>
              <w:tc>
                <w:tcPr>
                  <w:tcW w:w="4252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尺寸（mm），重量（kg）</w:t>
                  </w:r>
                </w:p>
              </w:tc>
              <w:tc>
                <w:tcPr>
                  <w:tcW w:w="4343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10113" w:rsidRDefault="00C10113" w:rsidP="0023619F">
                  <w:pPr>
                    <w:autoSpaceDN w:val="0"/>
                    <w:jc w:val="center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340×400×400，10</w:t>
                  </w:r>
                </w:p>
              </w:tc>
            </w:tr>
          </w:tbl>
          <w:p w:rsidR="00F06A8F" w:rsidRPr="00F06A8F" w:rsidRDefault="00F06A8F" w:rsidP="00704C6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F06A8F" w:rsidP="00704C6B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08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DF" w:rsidRDefault="00131ADF" w:rsidP="008E7637">
      <w:r>
        <w:separator/>
      </w:r>
    </w:p>
  </w:endnote>
  <w:endnote w:type="continuationSeparator" w:id="0">
    <w:p w:rsidR="00131ADF" w:rsidRDefault="00131ADF" w:rsidP="008E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DF" w:rsidRDefault="00131ADF" w:rsidP="008E7637">
      <w:r>
        <w:separator/>
      </w:r>
    </w:p>
  </w:footnote>
  <w:footnote w:type="continuationSeparator" w:id="0">
    <w:p w:rsidR="00131ADF" w:rsidRDefault="00131ADF" w:rsidP="008E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8E5"/>
    <w:multiLevelType w:val="hybridMultilevel"/>
    <w:tmpl w:val="1ACA34D2"/>
    <w:lvl w:ilvl="0" w:tplc="BBA416B2">
      <w:start w:val="1"/>
      <w:numFmt w:val="decimal"/>
      <w:lvlText w:val="7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B57161"/>
    <w:multiLevelType w:val="hybridMultilevel"/>
    <w:tmpl w:val="1E701B0C"/>
    <w:lvl w:ilvl="0" w:tplc="C23856BE">
      <w:start w:val="1"/>
      <w:numFmt w:val="decimal"/>
      <w:lvlText w:val="8.%1"/>
      <w:lvlJc w:val="left"/>
      <w:pPr>
        <w:ind w:left="735" w:hanging="420"/>
      </w:pPr>
      <w:rPr>
        <w:rFonts w:hint="eastAsia"/>
        <w:lang w:val="nb-N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CF6688"/>
    <w:multiLevelType w:val="hybridMultilevel"/>
    <w:tmpl w:val="78E6809C"/>
    <w:lvl w:ilvl="0" w:tplc="03868E1C">
      <w:start w:val="1"/>
      <w:numFmt w:val="decimal"/>
      <w:lvlText w:val="5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022D9E"/>
    <w:multiLevelType w:val="hybridMultilevel"/>
    <w:tmpl w:val="7FBAA540"/>
    <w:lvl w:ilvl="0" w:tplc="EFF407C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EFF407CE">
      <w:start w:val="1"/>
      <w:numFmt w:val="decimal"/>
      <w:lvlText w:val="2.%2"/>
      <w:lvlJc w:val="left"/>
      <w:pPr>
        <w:ind w:left="704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04E9E"/>
    <w:multiLevelType w:val="multilevel"/>
    <w:tmpl w:val="4B704E9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52FD099F"/>
    <w:multiLevelType w:val="hybridMultilevel"/>
    <w:tmpl w:val="D63C4614"/>
    <w:lvl w:ilvl="0" w:tplc="D7069BA0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02305"/>
    <w:multiLevelType w:val="hybridMultilevel"/>
    <w:tmpl w:val="3196C2BC"/>
    <w:lvl w:ilvl="0" w:tplc="F9B06AC2">
      <w:start w:val="1"/>
      <w:numFmt w:val="decimal"/>
      <w:lvlText w:val="3.%1"/>
      <w:lvlJc w:val="left"/>
      <w:pPr>
        <w:ind w:left="7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083B5D"/>
    <w:rsid w:val="0011746F"/>
    <w:rsid w:val="00131ADF"/>
    <w:rsid w:val="001C7A27"/>
    <w:rsid w:val="0028783B"/>
    <w:rsid w:val="003372BD"/>
    <w:rsid w:val="00343B69"/>
    <w:rsid w:val="003F3BDD"/>
    <w:rsid w:val="004C6CF0"/>
    <w:rsid w:val="00704C6B"/>
    <w:rsid w:val="007C0E4C"/>
    <w:rsid w:val="0085369C"/>
    <w:rsid w:val="008E7637"/>
    <w:rsid w:val="009917FC"/>
    <w:rsid w:val="009B6A1A"/>
    <w:rsid w:val="00A00151"/>
    <w:rsid w:val="00A61FB6"/>
    <w:rsid w:val="00B05DCE"/>
    <w:rsid w:val="00C10113"/>
    <w:rsid w:val="00C31EF6"/>
    <w:rsid w:val="00CB2238"/>
    <w:rsid w:val="00D32936"/>
    <w:rsid w:val="00F0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A04B6"/>
  <w15:docId w15:val="{FBDD774B-76EC-429C-9DB9-36C5340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E763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E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E7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2023-05-29T01:40:00Z</dcterms:created>
  <dcterms:modified xsi:type="dcterms:W3CDTF">2023-06-02T06:41:00Z</dcterms:modified>
</cp:coreProperties>
</file>