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FC" w:rsidRPr="009917FC" w:rsidRDefault="0085369C" w:rsidP="009917FC">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0" w:type="auto"/>
        <w:tblLook w:val="04A0" w:firstRow="1" w:lastRow="0" w:firstColumn="1" w:lastColumn="0" w:noHBand="0" w:noVBand="1"/>
      </w:tblPr>
      <w:tblGrid>
        <w:gridCol w:w="8296"/>
      </w:tblGrid>
      <w:tr w:rsidR="008112AF" w:rsidRPr="009917FC" w:rsidTr="00E676AB">
        <w:tc>
          <w:tcPr>
            <w:tcW w:w="8296" w:type="dxa"/>
          </w:tcPr>
          <w:p w:rsidR="008112AF" w:rsidRPr="009917FC" w:rsidRDefault="008112AF" w:rsidP="009917FC">
            <w:pPr>
              <w:rPr>
                <w:rFonts w:ascii="宋体" w:eastAsia="宋体" w:hAnsi="宋体"/>
                <w:sz w:val="28"/>
                <w:szCs w:val="28"/>
              </w:rPr>
            </w:pPr>
            <w:r w:rsidRPr="009917FC">
              <w:rPr>
                <w:rFonts w:ascii="宋体" w:eastAsia="宋体" w:hAnsi="宋体" w:hint="eastAsia"/>
                <w:sz w:val="28"/>
                <w:szCs w:val="28"/>
              </w:rPr>
              <w:t>产品名称</w:t>
            </w:r>
          </w:p>
          <w:p w:rsidR="008112AF" w:rsidRPr="008112AF" w:rsidRDefault="008112AF" w:rsidP="009917FC">
            <w:pPr>
              <w:rPr>
                <w:rFonts w:ascii="宋体" w:eastAsia="宋体" w:hAnsi="宋体"/>
                <w:szCs w:val="21"/>
              </w:rPr>
            </w:pPr>
            <w:bookmarkStart w:id="0" w:name="_GoBack"/>
            <w:r>
              <w:rPr>
                <w:rFonts w:ascii="宋体" w:eastAsia="宋体" w:hAnsi="宋体" w:hint="eastAsia"/>
                <w:szCs w:val="21"/>
              </w:rPr>
              <w:t>数据中心机房U</w:t>
            </w:r>
            <w:r>
              <w:rPr>
                <w:rFonts w:ascii="宋体" w:eastAsia="宋体" w:hAnsi="宋体"/>
                <w:szCs w:val="21"/>
              </w:rPr>
              <w:t>PS</w:t>
            </w:r>
            <w:r>
              <w:rPr>
                <w:rFonts w:ascii="宋体" w:eastAsia="宋体" w:hAnsi="宋体" w:hint="eastAsia"/>
                <w:szCs w:val="21"/>
              </w:rPr>
              <w:t>蓄电池更换</w:t>
            </w:r>
            <w:bookmarkEnd w:id="0"/>
          </w:p>
        </w:tc>
      </w:tr>
      <w:tr w:rsidR="009917FC" w:rsidRPr="009917FC" w:rsidTr="007C0E4C">
        <w:trPr>
          <w:trHeight w:val="1301"/>
        </w:trPr>
        <w:tc>
          <w:tcPr>
            <w:tcW w:w="8296" w:type="dxa"/>
          </w:tcPr>
          <w:p w:rsidR="00FA0731" w:rsidRDefault="009917FC">
            <w:pPr>
              <w:rPr>
                <w:rFonts w:ascii="宋体" w:eastAsia="宋体" w:hAnsi="宋体"/>
                <w:sz w:val="28"/>
                <w:szCs w:val="28"/>
              </w:rPr>
            </w:pPr>
            <w:r w:rsidRPr="009917FC">
              <w:rPr>
                <w:rFonts w:ascii="宋体" w:eastAsia="宋体" w:hAnsi="宋体" w:hint="eastAsia"/>
                <w:sz w:val="28"/>
                <w:szCs w:val="28"/>
              </w:rPr>
              <w:t>主要用途</w:t>
            </w:r>
            <w:r>
              <w:rPr>
                <w:rFonts w:ascii="宋体" w:eastAsia="宋体" w:hAnsi="宋体" w:hint="eastAsia"/>
                <w:sz w:val="28"/>
                <w:szCs w:val="28"/>
              </w:rPr>
              <w:t>描述</w:t>
            </w:r>
            <w:r w:rsidRPr="009917FC">
              <w:rPr>
                <w:rFonts w:ascii="宋体" w:eastAsia="宋体" w:hAnsi="宋体" w:hint="eastAsia"/>
                <w:sz w:val="28"/>
                <w:szCs w:val="28"/>
              </w:rPr>
              <w:t>：</w:t>
            </w:r>
          </w:p>
          <w:p w:rsidR="009917FC" w:rsidRDefault="00DC5603" w:rsidP="00FA0731">
            <w:pPr>
              <w:ind w:firstLineChars="200" w:firstLine="560"/>
              <w:rPr>
                <w:rFonts w:ascii="宋体" w:eastAsia="宋体" w:hAnsi="宋体"/>
                <w:sz w:val="28"/>
                <w:szCs w:val="28"/>
              </w:rPr>
            </w:pPr>
            <w:r w:rsidRPr="00DC5603">
              <w:rPr>
                <w:rFonts w:ascii="宋体" w:eastAsia="宋体" w:hAnsi="宋体" w:hint="eastAsia"/>
                <w:sz w:val="28"/>
                <w:szCs w:val="28"/>
              </w:rPr>
              <w:t>我校数据中心机房2</w:t>
            </w:r>
            <w:r w:rsidRPr="00DC5603">
              <w:rPr>
                <w:rFonts w:ascii="宋体" w:eastAsia="宋体" w:hAnsi="宋体"/>
                <w:sz w:val="28"/>
                <w:szCs w:val="28"/>
              </w:rPr>
              <w:t>014</w:t>
            </w:r>
            <w:r w:rsidRPr="00DC5603">
              <w:rPr>
                <w:rFonts w:ascii="宋体" w:eastAsia="宋体" w:hAnsi="宋体" w:hint="eastAsia"/>
                <w:sz w:val="28"/>
                <w:szCs w:val="28"/>
              </w:rPr>
              <w:t>年8月份装修完毕并投入使用，配备2组U</w:t>
            </w:r>
            <w:r w:rsidRPr="00DC5603">
              <w:rPr>
                <w:rFonts w:ascii="宋体" w:eastAsia="宋体" w:hAnsi="宋体"/>
                <w:sz w:val="28"/>
                <w:szCs w:val="28"/>
              </w:rPr>
              <w:t>PS</w:t>
            </w:r>
            <w:r w:rsidRPr="00DC5603">
              <w:rPr>
                <w:rFonts w:ascii="宋体" w:eastAsia="宋体" w:hAnsi="宋体" w:hint="eastAsia"/>
                <w:sz w:val="28"/>
                <w:szCs w:val="28"/>
              </w:rPr>
              <w:t>电源，共6</w:t>
            </w:r>
            <w:r w:rsidRPr="00DC5603">
              <w:rPr>
                <w:rFonts w:ascii="宋体" w:eastAsia="宋体" w:hAnsi="宋体"/>
                <w:sz w:val="28"/>
                <w:szCs w:val="28"/>
              </w:rPr>
              <w:t>4</w:t>
            </w:r>
            <w:r w:rsidRPr="00DC5603">
              <w:rPr>
                <w:rFonts w:ascii="宋体" w:eastAsia="宋体" w:hAnsi="宋体" w:hint="eastAsia"/>
                <w:sz w:val="28"/>
                <w:szCs w:val="28"/>
              </w:rPr>
              <w:t>节1</w:t>
            </w:r>
            <w:r w:rsidRPr="00DC5603">
              <w:rPr>
                <w:rFonts w:ascii="宋体" w:eastAsia="宋体" w:hAnsi="宋体"/>
                <w:sz w:val="28"/>
                <w:szCs w:val="28"/>
              </w:rPr>
              <w:t>2V120AH</w:t>
            </w:r>
            <w:r w:rsidRPr="00DC5603">
              <w:rPr>
                <w:rFonts w:ascii="宋体" w:eastAsia="宋体" w:hAnsi="宋体" w:hint="eastAsia"/>
                <w:sz w:val="28"/>
                <w:szCs w:val="28"/>
              </w:rPr>
              <w:t>蓄电池，电池已经不间断使用6年多，电池性能衰减严重，</w:t>
            </w:r>
            <w:r w:rsidRPr="00DC5603">
              <w:rPr>
                <w:rFonts w:ascii="宋体" w:eastAsia="宋体" w:hAnsi="宋体" w:hint="eastAsia"/>
                <w:bCs/>
                <w:sz w:val="28"/>
                <w:szCs w:val="28"/>
              </w:rPr>
              <w:t>远远超过了行业使用标准。随着学校信息化建设的逐步深入，机房内托管的设备也不断增加，目前存放的设备除了网络中心的服务器还包括财务处、教务处等多个部门托管的网络设备，为了保护网络设备数据安全及托管在数据中心机房的各类业务系统的正常使用，避免火患，防范于未然，</w:t>
            </w:r>
            <w:r w:rsidR="00B24A10">
              <w:rPr>
                <w:rFonts w:ascii="宋体" w:eastAsia="宋体" w:hAnsi="宋体" w:hint="eastAsia"/>
                <w:bCs/>
                <w:sz w:val="28"/>
                <w:szCs w:val="28"/>
              </w:rPr>
              <w:t>急需</w:t>
            </w:r>
            <w:r w:rsidRPr="00DC5603">
              <w:rPr>
                <w:rFonts w:ascii="宋体" w:eastAsia="宋体" w:hAnsi="宋体" w:hint="eastAsia"/>
                <w:bCs/>
                <w:sz w:val="28"/>
                <w:szCs w:val="28"/>
              </w:rPr>
              <w:t>对蓄电池进行更换。</w:t>
            </w:r>
          </w:p>
          <w:p w:rsidR="00615C25" w:rsidRPr="00A36A3E" w:rsidRDefault="00A36A3E" w:rsidP="00615C25">
            <w:pPr>
              <w:spacing w:line="480" w:lineRule="exact"/>
              <w:rPr>
                <w:sz w:val="24"/>
              </w:rPr>
            </w:pPr>
            <w:r>
              <w:rPr>
                <w:rFonts w:asciiTheme="minorEastAsia" w:hAnsiTheme="minorEastAsia" w:hint="eastAsia"/>
                <w:sz w:val="24"/>
              </w:rPr>
              <w:t xml:space="preserve"> </w:t>
            </w:r>
            <w:r>
              <w:rPr>
                <w:rFonts w:asciiTheme="minorEastAsia" w:hAnsiTheme="minorEastAsia"/>
                <w:sz w:val="24"/>
              </w:rPr>
              <w:t xml:space="preserve">  </w:t>
            </w:r>
            <w:r w:rsidRPr="00EC1861">
              <w:rPr>
                <w:rFonts w:ascii="仿宋" w:eastAsia="仿宋" w:hAnsi="仿宋"/>
                <w:sz w:val="24"/>
              </w:rPr>
              <w:t xml:space="preserve"> </w:t>
            </w:r>
          </w:p>
          <w:p w:rsidR="00A36A3E" w:rsidRPr="00A36A3E" w:rsidRDefault="00A36A3E" w:rsidP="00A36A3E">
            <w:pPr>
              <w:spacing w:line="480" w:lineRule="exact"/>
              <w:rPr>
                <w:sz w:val="24"/>
              </w:rPr>
            </w:pPr>
          </w:p>
        </w:tc>
      </w:tr>
      <w:tr w:rsidR="009917FC" w:rsidRPr="009917FC" w:rsidTr="007C0E4C">
        <w:trPr>
          <w:trHeight w:val="7141"/>
        </w:trPr>
        <w:tc>
          <w:tcPr>
            <w:tcW w:w="8296" w:type="dxa"/>
          </w:tcPr>
          <w:p w:rsidR="009917FC" w:rsidRDefault="009917FC">
            <w:pPr>
              <w:rPr>
                <w:rFonts w:ascii="宋体" w:eastAsia="宋体" w:hAnsi="宋体"/>
                <w:sz w:val="28"/>
                <w:szCs w:val="28"/>
              </w:rPr>
            </w:pPr>
            <w:r w:rsidRPr="009917FC">
              <w:rPr>
                <w:rFonts w:ascii="宋体" w:eastAsia="宋体" w:hAnsi="宋体" w:hint="eastAsia"/>
                <w:sz w:val="28"/>
                <w:szCs w:val="28"/>
              </w:rPr>
              <w:lastRenderedPageBreak/>
              <w:t>参数要求：</w:t>
            </w:r>
          </w:p>
          <w:p w:rsidR="00FD5027" w:rsidRPr="009917FC" w:rsidRDefault="00FD5027">
            <w:pPr>
              <w:rPr>
                <w:rFonts w:ascii="宋体" w:eastAsia="宋体" w:hAnsi="宋体"/>
                <w:sz w:val="28"/>
                <w:szCs w:val="28"/>
              </w:rPr>
            </w:pPr>
            <w:r>
              <w:rPr>
                <w:rFonts w:ascii="宋体" w:eastAsia="宋体" w:hAnsi="宋体" w:hint="eastAsia"/>
                <w:sz w:val="28"/>
                <w:szCs w:val="28"/>
              </w:rPr>
              <w:t>一、</w:t>
            </w:r>
            <w:r>
              <w:rPr>
                <w:rFonts w:hint="eastAsia"/>
                <w:sz w:val="22"/>
              </w:rPr>
              <w:t>采购清单</w:t>
            </w:r>
          </w:p>
          <w:tbl>
            <w:tblPr>
              <w:tblW w:w="7825" w:type="dxa"/>
              <w:tblLook w:val="04A0" w:firstRow="1" w:lastRow="0" w:firstColumn="1" w:lastColumn="0" w:noHBand="0" w:noVBand="1"/>
            </w:tblPr>
            <w:tblGrid>
              <w:gridCol w:w="556"/>
              <w:gridCol w:w="1160"/>
              <w:gridCol w:w="1342"/>
              <w:gridCol w:w="823"/>
              <w:gridCol w:w="794"/>
              <w:gridCol w:w="3150"/>
            </w:tblGrid>
            <w:tr w:rsidR="00FD5027" w:rsidTr="00FD5027">
              <w:trPr>
                <w:trHeight w:val="422"/>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FD5027" w:rsidRDefault="00FD5027" w:rsidP="00FD5027">
                  <w:pPr>
                    <w:rPr>
                      <w:b/>
                      <w:sz w:val="22"/>
                    </w:rPr>
                  </w:pPr>
                  <w:r>
                    <w:rPr>
                      <w:rFonts w:hint="eastAsia"/>
                      <w:b/>
                      <w:sz w:val="22"/>
                    </w:rPr>
                    <w:t>序号</w:t>
                  </w:r>
                </w:p>
              </w:tc>
              <w:tc>
                <w:tcPr>
                  <w:tcW w:w="1166" w:type="dxa"/>
                  <w:tcBorders>
                    <w:top w:val="single" w:sz="4" w:space="0" w:color="auto"/>
                    <w:left w:val="nil"/>
                    <w:bottom w:val="single" w:sz="4" w:space="0" w:color="auto"/>
                    <w:right w:val="single" w:sz="4" w:space="0" w:color="auto"/>
                  </w:tcBorders>
                  <w:shd w:val="clear" w:color="auto" w:fill="auto"/>
                  <w:vAlign w:val="center"/>
                </w:tcPr>
                <w:p w:rsidR="00FD5027" w:rsidRDefault="00FD5027" w:rsidP="00FD5027">
                  <w:pPr>
                    <w:rPr>
                      <w:b/>
                      <w:bCs/>
                      <w:sz w:val="22"/>
                    </w:rPr>
                  </w:pPr>
                  <w:r>
                    <w:rPr>
                      <w:rFonts w:hint="eastAsia"/>
                      <w:b/>
                      <w:bCs/>
                      <w:sz w:val="22"/>
                    </w:rPr>
                    <w:t>设备名称</w:t>
                  </w:r>
                </w:p>
              </w:tc>
              <w:tc>
                <w:tcPr>
                  <w:tcW w:w="1306" w:type="dxa"/>
                  <w:tcBorders>
                    <w:top w:val="single" w:sz="4" w:space="0" w:color="auto"/>
                    <w:left w:val="nil"/>
                    <w:bottom w:val="single" w:sz="4" w:space="0" w:color="auto"/>
                    <w:right w:val="single" w:sz="4" w:space="0" w:color="auto"/>
                  </w:tcBorders>
                  <w:shd w:val="clear" w:color="auto" w:fill="auto"/>
                  <w:vAlign w:val="center"/>
                </w:tcPr>
                <w:p w:rsidR="00FD5027" w:rsidRDefault="00FD5027" w:rsidP="00FD5027">
                  <w:pPr>
                    <w:rPr>
                      <w:b/>
                      <w:bCs/>
                      <w:sz w:val="22"/>
                    </w:rPr>
                  </w:pPr>
                  <w:r>
                    <w:rPr>
                      <w:rFonts w:hint="eastAsia"/>
                      <w:b/>
                      <w:bCs/>
                      <w:sz w:val="22"/>
                    </w:rPr>
                    <w:t>规格型号</w:t>
                  </w:r>
                </w:p>
              </w:tc>
              <w:tc>
                <w:tcPr>
                  <w:tcW w:w="826" w:type="dxa"/>
                  <w:tcBorders>
                    <w:top w:val="single" w:sz="4" w:space="0" w:color="auto"/>
                    <w:left w:val="nil"/>
                    <w:bottom w:val="single" w:sz="4" w:space="0" w:color="auto"/>
                    <w:right w:val="single" w:sz="4" w:space="0" w:color="auto"/>
                  </w:tcBorders>
                  <w:shd w:val="clear" w:color="auto" w:fill="auto"/>
                  <w:vAlign w:val="center"/>
                </w:tcPr>
                <w:p w:rsidR="00FD5027" w:rsidRDefault="00FD5027" w:rsidP="00FD5027">
                  <w:pPr>
                    <w:rPr>
                      <w:b/>
                      <w:bCs/>
                      <w:sz w:val="22"/>
                    </w:rPr>
                  </w:pPr>
                  <w:r>
                    <w:rPr>
                      <w:rFonts w:hint="eastAsia"/>
                      <w:b/>
                      <w:bCs/>
                      <w:sz w:val="22"/>
                    </w:rPr>
                    <w:t>单位</w:t>
                  </w:r>
                </w:p>
              </w:tc>
              <w:tc>
                <w:tcPr>
                  <w:tcW w:w="797" w:type="dxa"/>
                  <w:tcBorders>
                    <w:top w:val="single" w:sz="4" w:space="0" w:color="auto"/>
                    <w:left w:val="nil"/>
                    <w:bottom w:val="single" w:sz="4" w:space="0" w:color="auto"/>
                    <w:right w:val="single" w:sz="4" w:space="0" w:color="auto"/>
                  </w:tcBorders>
                  <w:shd w:val="clear" w:color="auto" w:fill="auto"/>
                  <w:vAlign w:val="center"/>
                </w:tcPr>
                <w:p w:rsidR="00FD5027" w:rsidRDefault="00FD5027" w:rsidP="00FD5027">
                  <w:pPr>
                    <w:rPr>
                      <w:b/>
                      <w:bCs/>
                      <w:sz w:val="22"/>
                    </w:rPr>
                  </w:pPr>
                  <w:r>
                    <w:rPr>
                      <w:rFonts w:hint="eastAsia"/>
                      <w:b/>
                      <w:bCs/>
                      <w:sz w:val="22"/>
                    </w:rPr>
                    <w:t>数量</w:t>
                  </w:r>
                </w:p>
              </w:tc>
              <w:tc>
                <w:tcPr>
                  <w:tcW w:w="3172" w:type="dxa"/>
                  <w:tcBorders>
                    <w:top w:val="single" w:sz="4" w:space="0" w:color="auto"/>
                    <w:left w:val="nil"/>
                    <w:bottom w:val="single" w:sz="4" w:space="0" w:color="auto"/>
                    <w:right w:val="single" w:sz="4" w:space="0" w:color="auto"/>
                  </w:tcBorders>
                  <w:shd w:val="clear" w:color="auto" w:fill="auto"/>
                  <w:vAlign w:val="center"/>
                </w:tcPr>
                <w:p w:rsidR="00FD5027" w:rsidRDefault="00FD5027" w:rsidP="00FD5027">
                  <w:pPr>
                    <w:rPr>
                      <w:b/>
                      <w:bCs/>
                      <w:sz w:val="22"/>
                    </w:rPr>
                  </w:pPr>
                  <w:r>
                    <w:rPr>
                      <w:rFonts w:hint="eastAsia"/>
                      <w:b/>
                      <w:bCs/>
                      <w:sz w:val="22"/>
                    </w:rPr>
                    <w:t>其他说明</w:t>
                  </w:r>
                </w:p>
              </w:tc>
            </w:tr>
            <w:tr w:rsidR="00FD5027" w:rsidTr="00FD5027">
              <w:trPr>
                <w:trHeight w:val="594"/>
              </w:trPr>
              <w:tc>
                <w:tcPr>
                  <w:tcW w:w="558" w:type="dxa"/>
                  <w:tcBorders>
                    <w:top w:val="nil"/>
                    <w:left w:val="single" w:sz="4" w:space="0" w:color="auto"/>
                    <w:bottom w:val="single" w:sz="4" w:space="0" w:color="auto"/>
                    <w:right w:val="single" w:sz="4" w:space="0" w:color="auto"/>
                  </w:tcBorders>
                  <w:shd w:val="clear" w:color="auto" w:fill="auto"/>
                  <w:vAlign w:val="center"/>
                </w:tcPr>
                <w:p w:rsidR="00FD5027" w:rsidRDefault="00FD5027" w:rsidP="00FD5027">
                  <w:pPr>
                    <w:rPr>
                      <w:sz w:val="22"/>
                    </w:rPr>
                  </w:pPr>
                  <w:r>
                    <w:rPr>
                      <w:rFonts w:hint="eastAsia"/>
                      <w:sz w:val="22"/>
                    </w:rPr>
                    <w:t>1</w:t>
                  </w:r>
                </w:p>
              </w:tc>
              <w:tc>
                <w:tcPr>
                  <w:tcW w:w="1166" w:type="dxa"/>
                  <w:tcBorders>
                    <w:top w:val="nil"/>
                    <w:left w:val="nil"/>
                    <w:bottom w:val="single" w:sz="4" w:space="0" w:color="auto"/>
                    <w:right w:val="single" w:sz="4" w:space="0" w:color="auto"/>
                  </w:tcBorders>
                  <w:shd w:val="clear" w:color="000000" w:fill="FFFFFF"/>
                  <w:vAlign w:val="center"/>
                </w:tcPr>
                <w:p w:rsidR="00FD5027" w:rsidRDefault="00FD5027" w:rsidP="00FD5027">
                  <w:pPr>
                    <w:rPr>
                      <w:sz w:val="22"/>
                    </w:rPr>
                  </w:pPr>
                  <w:r>
                    <w:rPr>
                      <w:rFonts w:hint="eastAsia"/>
                      <w:sz w:val="22"/>
                    </w:rPr>
                    <w:t>蓄电池</w:t>
                  </w:r>
                </w:p>
              </w:tc>
              <w:tc>
                <w:tcPr>
                  <w:tcW w:w="1306" w:type="dxa"/>
                  <w:tcBorders>
                    <w:top w:val="nil"/>
                    <w:left w:val="nil"/>
                    <w:bottom w:val="single" w:sz="4" w:space="0" w:color="auto"/>
                    <w:right w:val="single" w:sz="4" w:space="0" w:color="auto"/>
                  </w:tcBorders>
                  <w:shd w:val="clear" w:color="000000" w:fill="FFFFFF"/>
                  <w:vAlign w:val="center"/>
                </w:tcPr>
                <w:p w:rsidR="00FD5027" w:rsidRDefault="00FD5027" w:rsidP="00FD5027">
                  <w:pPr>
                    <w:rPr>
                      <w:sz w:val="22"/>
                    </w:rPr>
                  </w:pPr>
                  <w:r>
                    <w:rPr>
                      <w:rFonts w:hint="eastAsia"/>
                      <w:sz w:val="22"/>
                    </w:rPr>
                    <w:t>120AH/12V</w:t>
                  </w:r>
                </w:p>
              </w:tc>
              <w:tc>
                <w:tcPr>
                  <w:tcW w:w="826" w:type="dxa"/>
                  <w:tcBorders>
                    <w:top w:val="nil"/>
                    <w:left w:val="nil"/>
                    <w:bottom w:val="single" w:sz="4" w:space="0" w:color="auto"/>
                    <w:right w:val="single" w:sz="4" w:space="0" w:color="auto"/>
                  </w:tcBorders>
                  <w:shd w:val="clear" w:color="000000" w:fill="FFFFFF"/>
                  <w:vAlign w:val="center"/>
                </w:tcPr>
                <w:p w:rsidR="00FD5027" w:rsidRDefault="00FD5027" w:rsidP="00FD5027">
                  <w:pPr>
                    <w:rPr>
                      <w:sz w:val="22"/>
                    </w:rPr>
                  </w:pPr>
                  <w:r>
                    <w:rPr>
                      <w:rFonts w:hint="eastAsia"/>
                      <w:sz w:val="22"/>
                    </w:rPr>
                    <w:t>节</w:t>
                  </w:r>
                </w:p>
              </w:tc>
              <w:tc>
                <w:tcPr>
                  <w:tcW w:w="797" w:type="dxa"/>
                  <w:tcBorders>
                    <w:top w:val="nil"/>
                    <w:left w:val="nil"/>
                    <w:bottom w:val="single" w:sz="4" w:space="0" w:color="auto"/>
                    <w:right w:val="single" w:sz="4" w:space="0" w:color="auto"/>
                  </w:tcBorders>
                  <w:shd w:val="clear" w:color="000000" w:fill="FFFFFF"/>
                  <w:vAlign w:val="center"/>
                </w:tcPr>
                <w:p w:rsidR="00FD5027" w:rsidRDefault="00FD5027" w:rsidP="00FD5027">
                  <w:pPr>
                    <w:rPr>
                      <w:sz w:val="22"/>
                    </w:rPr>
                  </w:pPr>
                  <w:r>
                    <w:rPr>
                      <w:rFonts w:hint="eastAsia"/>
                      <w:sz w:val="22"/>
                    </w:rPr>
                    <w:t>64</w:t>
                  </w:r>
                </w:p>
              </w:tc>
              <w:tc>
                <w:tcPr>
                  <w:tcW w:w="3172" w:type="dxa"/>
                  <w:tcBorders>
                    <w:top w:val="nil"/>
                    <w:left w:val="nil"/>
                    <w:bottom w:val="single" w:sz="4" w:space="0" w:color="auto"/>
                    <w:right w:val="single" w:sz="4" w:space="0" w:color="auto"/>
                  </w:tcBorders>
                  <w:shd w:val="clear" w:color="000000" w:fill="FFFFFF"/>
                  <w:vAlign w:val="center"/>
                </w:tcPr>
                <w:p w:rsidR="00FD5027" w:rsidRPr="00B1561F" w:rsidRDefault="00FD5027" w:rsidP="00FD5027">
                  <w:pPr>
                    <w:rPr>
                      <w:sz w:val="22"/>
                    </w:rPr>
                  </w:pPr>
                  <w:r w:rsidRPr="00653559">
                    <w:rPr>
                      <w:rFonts w:hint="eastAsia"/>
                      <w:sz w:val="22"/>
                    </w:rPr>
                    <w:t>蓄电池质保期为自货物到货安装完毕</w:t>
                  </w:r>
                  <w:r>
                    <w:rPr>
                      <w:rFonts w:hint="eastAsia"/>
                      <w:sz w:val="22"/>
                    </w:rPr>
                    <w:t>并验收合格</w:t>
                  </w:r>
                  <w:r w:rsidRPr="00653559">
                    <w:rPr>
                      <w:rFonts w:hint="eastAsia"/>
                      <w:sz w:val="22"/>
                    </w:rPr>
                    <w:t xml:space="preserve">之日起 36 </w:t>
                  </w:r>
                  <w:proofErr w:type="gramStart"/>
                  <w:r w:rsidRPr="00653559">
                    <w:rPr>
                      <w:rFonts w:hint="eastAsia"/>
                      <w:sz w:val="22"/>
                    </w:rPr>
                    <w:t>个</w:t>
                  </w:r>
                  <w:proofErr w:type="gramEnd"/>
                  <w:r w:rsidRPr="00653559">
                    <w:rPr>
                      <w:rFonts w:hint="eastAsia"/>
                      <w:sz w:val="22"/>
                    </w:rPr>
                    <w:t>月，质保期</w:t>
                  </w:r>
                  <w:r>
                    <w:rPr>
                      <w:rFonts w:hint="eastAsia"/>
                      <w:sz w:val="22"/>
                    </w:rPr>
                    <w:t>内应每三个月定期检测并提供检测报告，</w:t>
                  </w:r>
                  <w:r w:rsidRPr="00653559">
                    <w:rPr>
                      <w:rFonts w:hint="eastAsia"/>
                      <w:sz w:val="22"/>
                    </w:rPr>
                    <w:t>产品出现故障时，乙方应在</w:t>
                  </w:r>
                  <w:r w:rsidRPr="00653559">
                    <w:rPr>
                      <w:sz w:val="22"/>
                    </w:rPr>
                    <w:t>24</w:t>
                  </w:r>
                  <w:r w:rsidRPr="00653559">
                    <w:rPr>
                      <w:rFonts w:hint="eastAsia"/>
                      <w:sz w:val="22"/>
                    </w:rPr>
                    <w:t>小时内响应并免费维修或更换。</w:t>
                  </w:r>
                </w:p>
              </w:tc>
            </w:tr>
          </w:tbl>
          <w:p w:rsidR="00FC6E27" w:rsidRDefault="00FC6E27" w:rsidP="001305CB">
            <w:pPr>
              <w:ind w:firstLineChars="200" w:firstLine="440"/>
              <w:rPr>
                <w:sz w:val="22"/>
              </w:rPr>
            </w:pPr>
          </w:p>
          <w:p w:rsidR="001305CB" w:rsidRDefault="001305CB" w:rsidP="001305CB">
            <w:pPr>
              <w:ind w:firstLineChars="200" w:firstLine="440"/>
              <w:rPr>
                <w:sz w:val="22"/>
              </w:rPr>
            </w:pPr>
            <w:r>
              <w:rPr>
                <w:rFonts w:hint="eastAsia"/>
                <w:sz w:val="22"/>
              </w:rPr>
              <w:t>注：供应商需根据现场实际情况配置安装辅材，</w:t>
            </w:r>
            <w:r w:rsidRPr="00B1561F">
              <w:rPr>
                <w:rFonts w:hint="eastAsia"/>
                <w:sz w:val="22"/>
              </w:rPr>
              <w:t>负责蓄电池的搬运和安装（</w:t>
            </w:r>
            <w:r w:rsidRPr="005B650C">
              <w:rPr>
                <w:sz w:val="22"/>
              </w:rPr>
              <w:t>负责提供电池的钢架，并具有接地端子</w:t>
            </w:r>
            <w:r>
              <w:rPr>
                <w:rFonts w:hint="eastAsia"/>
                <w:sz w:val="22"/>
              </w:rPr>
              <w:t>，</w:t>
            </w:r>
            <w:r w:rsidRPr="00B1561F">
              <w:rPr>
                <w:rFonts w:hint="eastAsia"/>
                <w:sz w:val="22"/>
              </w:rPr>
              <w:t>含蓄电池内各单体电池的连接），完成UPS</w:t>
            </w:r>
            <w:r>
              <w:rPr>
                <w:rFonts w:hint="eastAsia"/>
                <w:sz w:val="22"/>
              </w:rPr>
              <w:t>到蓄电池的联调，负责旧蓄电池组的拆除，电池更换期间不能影响机房设备的正常供电，供应商可于2</w:t>
            </w:r>
            <w:r>
              <w:rPr>
                <w:sz w:val="22"/>
              </w:rPr>
              <w:t>020</w:t>
            </w:r>
            <w:r>
              <w:rPr>
                <w:rFonts w:hint="eastAsia"/>
                <w:sz w:val="22"/>
              </w:rPr>
              <w:t>年1</w:t>
            </w:r>
            <w:r>
              <w:rPr>
                <w:sz w:val="22"/>
              </w:rPr>
              <w:t>0</w:t>
            </w:r>
            <w:r>
              <w:rPr>
                <w:rFonts w:hint="eastAsia"/>
                <w:sz w:val="22"/>
              </w:rPr>
              <w:t>月3</w:t>
            </w:r>
            <w:r>
              <w:rPr>
                <w:sz w:val="22"/>
              </w:rPr>
              <w:t>0</w:t>
            </w:r>
            <w:r>
              <w:rPr>
                <w:rFonts w:hint="eastAsia"/>
                <w:sz w:val="22"/>
              </w:rPr>
              <w:t>日上午1</w:t>
            </w:r>
            <w:r>
              <w:rPr>
                <w:sz w:val="22"/>
              </w:rPr>
              <w:t>0</w:t>
            </w:r>
            <w:r>
              <w:rPr>
                <w:rFonts w:hint="eastAsia"/>
                <w:sz w:val="22"/>
              </w:rPr>
              <w:t>点到南京中医药大学图书馆1</w:t>
            </w:r>
            <w:r>
              <w:rPr>
                <w:sz w:val="22"/>
              </w:rPr>
              <w:t>09</w:t>
            </w:r>
            <w:r>
              <w:rPr>
                <w:rFonts w:hint="eastAsia"/>
                <w:sz w:val="22"/>
              </w:rPr>
              <w:t>联系现场勘查</w:t>
            </w:r>
            <w:r w:rsidR="00D31C40">
              <w:rPr>
                <w:rFonts w:hint="eastAsia"/>
                <w:sz w:val="22"/>
              </w:rPr>
              <w:t>，过期</w:t>
            </w:r>
            <w:r w:rsidR="00132D30">
              <w:rPr>
                <w:rFonts w:hint="eastAsia"/>
                <w:sz w:val="22"/>
              </w:rPr>
              <w:t>不联系</w:t>
            </w:r>
            <w:r w:rsidR="00D31C40">
              <w:rPr>
                <w:rFonts w:hint="eastAsia"/>
                <w:sz w:val="22"/>
              </w:rPr>
              <w:t>视为放弃勘查，认可采购要求</w:t>
            </w:r>
            <w:r>
              <w:rPr>
                <w:rFonts w:hint="eastAsia"/>
                <w:sz w:val="22"/>
              </w:rPr>
              <w:t>（勘查人员</w:t>
            </w:r>
            <w:r w:rsidR="00FC6E27">
              <w:rPr>
                <w:rFonts w:hint="eastAsia"/>
                <w:sz w:val="22"/>
              </w:rPr>
              <w:t>进校</w:t>
            </w:r>
            <w:r>
              <w:rPr>
                <w:rFonts w:hint="eastAsia"/>
                <w:sz w:val="22"/>
              </w:rPr>
              <w:t>申请联系8</w:t>
            </w:r>
            <w:r>
              <w:rPr>
                <w:sz w:val="22"/>
              </w:rPr>
              <w:t>5811936</w:t>
            </w:r>
            <w:r>
              <w:rPr>
                <w:rFonts w:hint="eastAsia"/>
                <w:sz w:val="22"/>
              </w:rPr>
              <w:t>）。</w:t>
            </w:r>
          </w:p>
          <w:p w:rsidR="00FD5027" w:rsidRPr="00FD5027" w:rsidRDefault="00FD5027" w:rsidP="00FD5027">
            <w:pPr>
              <w:rPr>
                <w:rFonts w:ascii="宋体" w:eastAsia="宋体" w:hAnsi="宋体"/>
                <w:sz w:val="28"/>
                <w:szCs w:val="28"/>
              </w:rPr>
            </w:pPr>
            <w:r>
              <w:rPr>
                <w:rFonts w:ascii="宋体" w:eastAsia="宋体" w:hAnsi="宋体" w:hint="eastAsia"/>
                <w:sz w:val="28"/>
                <w:szCs w:val="28"/>
              </w:rPr>
              <w:t>二、</w:t>
            </w:r>
            <w:r w:rsidRPr="00FD5027">
              <w:rPr>
                <w:rFonts w:ascii="宋体" w:eastAsia="宋体" w:hAnsi="宋体"/>
                <w:sz w:val="28"/>
                <w:szCs w:val="28"/>
              </w:rPr>
              <w:t>技术要求</w:t>
            </w:r>
          </w:p>
          <w:p w:rsidR="00FD5027" w:rsidRPr="0081503B" w:rsidRDefault="00FD5027" w:rsidP="00FD5027">
            <w:pPr>
              <w:rPr>
                <w:rFonts w:ascii="宋体" w:eastAsia="宋体" w:hAnsi="宋体"/>
                <w:sz w:val="28"/>
                <w:szCs w:val="28"/>
              </w:rPr>
            </w:pPr>
            <w:r w:rsidRPr="00FD5027">
              <w:rPr>
                <w:rFonts w:ascii="宋体" w:eastAsia="宋体" w:hAnsi="宋体"/>
                <w:sz w:val="28"/>
                <w:szCs w:val="28"/>
              </w:rPr>
              <w:t>1</w:t>
            </w:r>
            <w:r w:rsidRPr="00FD5027">
              <w:rPr>
                <w:rFonts w:ascii="宋体" w:eastAsia="宋体" w:hAnsi="宋体" w:hint="eastAsia"/>
                <w:sz w:val="28"/>
                <w:szCs w:val="28"/>
              </w:rPr>
              <w:t>、</w:t>
            </w:r>
            <w:r w:rsidRPr="0081503B">
              <w:rPr>
                <w:rFonts w:ascii="宋体" w:eastAsia="宋体" w:hAnsi="宋体" w:hint="eastAsia"/>
                <w:sz w:val="28"/>
                <w:szCs w:val="28"/>
              </w:rPr>
              <w:t>供应商所投蓄电池的生产企业应通过适用于阀控式铅酸蓄电池的生产和服务I</w:t>
            </w:r>
            <w:r w:rsidRPr="0081503B">
              <w:rPr>
                <w:rFonts w:ascii="宋体" w:eastAsia="宋体" w:hAnsi="宋体"/>
                <w:sz w:val="28"/>
                <w:szCs w:val="28"/>
              </w:rPr>
              <w:t>SO9001</w:t>
            </w:r>
            <w:r w:rsidRPr="0081503B">
              <w:rPr>
                <w:rFonts w:ascii="宋体" w:eastAsia="宋体" w:hAnsi="宋体" w:hint="eastAsia"/>
                <w:sz w:val="28"/>
                <w:szCs w:val="28"/>
              </w:rPr>
              <w:t>、I</w:t>
            </w:r>
            <w:r w:rsidRPr="0081503B">
              <w:rPr>
                <w:rFonts w:ascii="宋体" w:eastAsia="宋体" w:hAnsi="宋体"/>
                <w:sz w:val="28"/>
                <w:szCs w:val="28"/>
              </w:rPr>
              <w:t>SO14001</w:t>
            </w:r>
            <w:r w:rsidRPr="0081503B">
              <w:rPr>
                <w:rFonts w:ascii="宋体" w:eastAsia="宋体" w:hAnsi="宋体" w:hint="eastAsia"/>
                <w:sz w:val="28"/>
                <w:szCs w:val="28"/>
              </w:rPr>
              <w:t>、</w:t>
            </w:r>
            <w:r w:rsidRPr="0081503B">
              <w:rPr>
                <w:rFonts w:ascii="宋体" w:eastAsia="宋体" w:hAnsi="宋体"/>
                <w:sz w:val="28"/>
                <w:szCs w:val="28"/>
              </w:rPr>
              <w:t>OHSAS18001</w:t>
            </w:r>
            <w:r w:rsidRPr="0081503B">
              <w:rPr>
                <w:rFonts w:ascii="宋体" w:eastAsia="宋体" w:hAnsi="宋体" w:hint="eastAsia"/>
                <w:sz w:val="28"/>
                <w:szCs w:val="28"/>
              </w:rPr>
              <w:t>认证。蓄电池必须提供厂家生产许可证、注册营业执照、新版排污许可证复印件并加盖公章。</w:t>
            </w:r>
          </w:p>
          <w:p w:rsidR="00FD5027" w:rsidRPr="0081503B" w:rsidRDefault="00FD5027" w:rsidP="00FD5027">
            <w:pPr>
              <w:rPr>
                <w:rFonts w:ascii="宋体" w:eastAsia="宋体" w:hAnsi="宋体"/>
                <w:sz w:val="28"/>
                <w:szCs w:val="28"/>
              </w:rPr>
            </w:pPr>
            <w:r w:rsidRPr="0081503B">
              <w:rPr>
                <w:rFonts w:ascii="宋体" w:eastAsia="宋体" w:hAnsi="宋体"/>
                <w:sz w:val="28"/>
                <w:szCs w:val="28"/>
              </w:rPr>
              <w:t>2</w:t>
            </w:r>
            <w:r w:rsidRPr="0081503B">
              <w:rPr>
                <w:rFonts w:ascii="宋体" w:eastAsia="宋体" w:hAnsi="宋体" w:hint="eastAsia"/>
                <w:sz w:val="28"/>
                <w:szCs w:val="28"/>
              </w:rPr>
              <w:t>、供应商所投蓄电池应符合中华人民共和国工业和信息化部通信</w:t>
            </w:r>
            <w:r w:rsidRPr="0081503B">
              <w:rPr>
                <w:rFonts w:ascii="宋体" w:eastAsia="宋体" w:hAnsi="宋体" w:hint="eastAsia"/>
                <w:sz w:val="28"/>
                <w:szCs w:val="28"/>
              </w:rPr>
              <w:lastRenderedPageBreak/>
              <w:t>用阀控式铅酸蓄电池行业标准Y</w:t>
            </w:r>
            <w:r w:rsidRPr="0081503B">
              <w:rPr>
                <w:rFonts w:ascii="宋体" w:eastAsia="宋体" w:hAnsi="宋体"/>
                <w:sz w:val="28"/>
                <w:szCs w:val="28"/>
              </w:rPr>
              <w:t>D/T799-2010</w:t>
            </w:r>
            <w:r w:rsidRPr="0081503B">
              <w:rPr>
                <w:rFonts w:ascii="宋体" w:eastAsia="宋体" w:hAnsi="宋体" w:hint="eastAsia"/>
                <w:sz w:val="28"/>
                <w:szCs w:val="28"/>
              </w:rPr>
              <w:t>，需提供所投产</w:t>
            </w:r>
            <w:proofErr w:type="gramStart"/>
            <w:r w:rsidRPr="0081503B">
              <w:rPr>
                <w:rFonts w:ascii="宋体" w:eastAsia="宋体" w:hAnsi="宋体" w:hint="eastAsia"/>
                <w:sz w:val="28"/>
                <w:szCs w:val="28"/>
              </w:rPr>
              <w:t>品系列经</w:t>
            </w:r>
            <w:proofErr w:type="gramEnd"/>
            <w:r w:rsidRPr="0081503B">
              <w:rPr>
                <w:rFonts w:ascii="宋体" w:eastAsia="宋体" w:hAnsi="宋体" w:hint="eastAsia"/>
                <w:sz w:val="28"/>
                <w:szCs w:val="28"/>
              </w:rPr>
              <w:t>C</w:t>
            </w:r>
            <w:r w:rsidRPr="0081503B">
              <w:rPr>
                <w:rFonts w:ascii="宋体" w:eastAsia="宋体" w:hAnsi="宋体"/>
                <w:sz w:val="28"/>
                <w:szCs w:val="28"/>
              </w:rPr>
              <w:t>MA</w:t>
            </w:r>
            <w:r w:rsidRPr="0081503B">
              <w:rPr>
                <w:rFonts w:ascii="宋体" w:eastAsia="宋体" w:hAnsi="宋体" w:hint="eastAsia"/>
                <w:sz w:val="28"/>
                <w:szCs w:val="28"/>
              </w:rPr>
              <w:t>或C</w:t>
            </w:r>
            <w:r w:rsidRPr="0081503B">
              <w:rPr>
                <w:rFonts w:ascii="宋体" w:eastAsia="宋体" w:hAnsi="宋体"/>
                <w:sz w:val="28"/>
                <w:szCs w:val="28"/>
              </w:rPr>
              <w:t>NAS</w:t>
            </w:r>
            <w:r w:rsidRPr="0081503B">
              <w:rPr>
                <w:rFonts w:ascii="宋体" w:eastAsia="宋体" w:hAnsi="宋体" w:hint="eastAsia"/>
                <w:sz w:val="28"/>
                <w:szCs w:val="28"/>
              </w:rPr>
              <w:t>认证的检测机构出具的认证报告。</w:t>
            </w:r>
          </w:p>
          <w:p w:rsidR="00FD5027" w:rsidRPr="0081503B" w:rsidRDefault="00FD5027" w:rsidP="00FD5027">
            <w:pPr>
              <w:rPr>
                <w:rFonts w:ascii="宋体" w:eastAsia="宋体" w:hAnsi="宋体"/>
                <w:sz w:val="28"/>
                <w:szCs w:val="28"/>
              </w:rPr>
            </w:pPr>
            <w:r w:rsidRPr="0081503B">
              <w:rPr>
                <w:rFonts w:ascii="宋体" w:eastAsia="宋体" w:hAnsi="宋体"/>
                <w:sz w:val="28"/>
                <w:szCs w:val="28"/>
              </w:rPr>
              <w:t>3</w:t>
            </w:r>
            <w:r w:rsidRPr="0081503B">
              <w:rPr>
                <w:rFonts w:ascii="宋体" w:eastAsia="宋体" w:hAnsi="宋体" w:hint="eastAsia"/>
                <w:sz w:val="28"/>
                <w:szCs w:val="28"/>
              </w:rPr>
              <w:t>、供应商应提供所投蓄电池生产企业针对本项目出具的三年质</w:t>
            </w:r>
            <w:proofErr w:type="gramStart"/>
            <w:r w:rsidRPr="0081503B">
              <w:rPr>
                <w:rFonts w:ascii="宋体" w:eastAsia="宋体" w:hAnsi="宋体" w:hint="eastAsia"/>
                <w:sz w:val="28"/>
                <w:szCs w:val="28"/>
              </w:rPr>
              <w:t>保承诺</w:t>
            </w:r>
            <w:proofErr w:type="gramEnd"/>
            <w:r w:rsidRPr="0081503B">
              <w:rPr>
                <w:rFonts w:ascii="宋体" w:eastAsia="宋体" w:hAnsi="宋体" w:hint="eastAsia"/>
                <w:sz w:val="28"/>
                <w:szCs w:val="28"/>
              </w:rPr>
              <w:t>书原件（同时加盖供应商及蓄电池生产企业公章）。</w:t>
            </w:r>
          </w:p>
          <w:p w:rsidR="00FD5027" w:rsidRPr="0081503B" w:rsidRDefault="00FD5027" w:rsidP="00FD5027">
            <w:pPr>
              <w:rPr>
                <w:rFonts w:ascii="宋体" w:eastAsia="宋体" w:hAnsi="宋体"/>
                <w:sz w:val="28"/>
                <w:szCs w:val="28"/>
              </w:rPr>
            </w:pPr>
            <w:r w:rsidRPr="0081503B">
              <w:rPr>
                <w:rFonts w:ascii="宋体" w:eastAsia="宋体" w:hAnsi="宋体"/>
                <w:sz w:val="28"/>
                <w:szCs w:val="28"/>
              </w:rPr>
              <w:t>4、</w:t>
            </w:r>
            <w:r w:rsidRPr="0081503B">
              <w:rPr>
                <w:rFonts w:ascii="宋体" w:eastAsia="宋体" w:hAnsi="宋体" w:hint="eastAsia"/>
                <w:sz w:val="28"/>
                <w:szCs w:val="28"/>
              </w:rPr>
              <w:t>电池的生产日期应不超过三个月，提供详细的投标产品规格、产地信息。</w:t>
            </w:r>
          </w:p>
          <w:p w:rsidR="00FD5027" w:rsidRPr="0081503B" w:rsidRDefault="00FD5027" w:rsidP="00FD5027">
            <w:pPr>
              <w:rPr>
                <w:rFonts w:ascii="宋体" w:eastAsia="宋体" w:hAnsi="宋体"/>
                <w:sz w:val="28"/>
                <w:szCs w:val="28"/>
              </w:rPr>
            </w:pPr>
            <w:r w:rsidRPr="0081503B">
              <w:rPr>
                <w:rFonts w:ascii="宋体" w:eastAsia="宋体" w:hAnsi="宋体"/>
                <w:sz w:val="28"/>
                <w:szCs w:val="28"/>
              </w:rPr>
              <w:t>5</w:t>
            </w:r>
            <w:r w:rsidRPr="0081503B">
              <w:rPr>
                <w:rFonts w:ascii="宋体" w:eastAsia="宋体" w:hAnsi="宋体" w:hint="eastAsia"/>
                <w:sz w:val="28"/>
                <w:szCs w:val="28"/>
              </w:rPr>
              <w:t>、供应商所投</w:t>
            </w:r>
            <w:r w:rsidRPr="0081503B">
              <w:rPr>
                <w:rFonts w:ascii="宋体" w:eastAsia="宋体" w:hAnsi="宋体"/>
                <w:sz w:val="28"/>
                <w:szCs w:val="28"/>
              </w:rPr>
              <w:t>蓄电池为</w:t>
            </w:r>
            <w:r w:rsidRPr="0081503B">
              <w:rPr>
                <w:rFonts w:ascii="宋体" w:eastAsia="宋体" w:hAnsi="宋体" w:hint="eastAsia"/>
                <w:sz w:val="28"/>
                <w:szCs w:val="28"/>
              </w:rPr>
              <w:t>阀控式密封铅酸蓄电池，</w:t>
            </w:r>
            <w:r w:rsidRPr="0081503B">
              <w:rPr>
                <w:rFonts w:ascii="宋体" w:eastAsia="宋体" w:hAnsi="宋体"/>
                <w:sz w:val="28"/>
                <w:szCs w:val="28"/>
              </w:rPr>
              <w:t>单体电池</w:t>
            </w:r>
            <w:r w:rsidRPr="0081503B">
              <w:rPr>
                <w:rFonts w:ascii="宋体" w:eastAsia="宋体" w:hAnsi="宋体" w:hint="eastAsia"/>
                <w:sz w:val="28"/>
                <w:szCs w:val="28"/>
              </w:rPr>
              <w:t>标称</w:t>
            </w:r>
            <w:r w:rsidRPr="0081503B">
              <w:rPr>
                <w:rFonts w:ascii="宋体" w:eastAsia="宋体" w:hAnsi="宋体"/>
                <w:sz w:val="28"/>
                <w:szCs w:val="28"/>
              </w:rPr>
              <w:t>电压为12V</w:t>
            </w:r>
            <w:r w:rsidRPr="0081503B">
              <w:rPr>
                <w:rFonts w:ascii="宋体" w:eastAsia="宋体" w:hAnsi="宋体" w:hint="eastAsia"/>
                <w:sz w:val="28"/>
                <w:szCs w:val="28"/>
              </w:rPr>
              <w:t>，标称容量为1</w:t>
            </w:r>
            <w:r w:rsidRPr="0081503B">
              <w:rPr>
                <w:rFonts w:ascii="宋体" w:eastAsia="宋体" w:hAnsi="宋体"/>
                <w:sz w:val="28"/>
                <w:szCs w:val="28"/>
              </w:rPr>
              <w:t>20AH</w:t>
            </w:r>
            <w:r w:rsidRPr="0081503B">
              <w:rPr>
                <w:rFonts w:ascii="宋体" w:eastAsia="宋体" w:hAnsi="宋体" w:hint="eastAsia"/>
                <w:sz w:val="28"/>
                <w:szCs w:val="28"/>
              </w:rPr>
              <w:t>。</w:t>
            </w:r>
            <w:r w:rsidRPr="0081503B">
              <w:rPr>
                <w:rFonts w:ascii="宋体" w:eastAsia="宋体" w:hAnsi="宋体"/>
                <w:sz w:val="28"/>
                <w:szCs w:val="28"/>
              </w:rPr>
              <w:t>内阻值不大于4.5mΩ，外壳材质必须符合UL94V-0标准的ABS树脂，蓄电池设计浮充寿命不少于10年（环境温度为20℃时）</w:t>
            </w:r>
            <w:r w:rsidRPr="0081503B">
              <w:rPr>
                <w:rFonts w:ascii="宋体" w:eastAsia="宋体" w:hAnsi="宋体" w:hint="eastAsia"/>
                <w:sz w:val="28"/>
                <w:szCs w:val="28"/>
              </w:rPr>
              <w:t>，供应商</w:t>
            </w:r>
            <w:r w:rsidRPr="0081503B">
              <w:rPr>
                <w:rFonts w:ascii="宋体" w:eastAsia="宋体" w:hAnsi="宋体"/>
                <w:sz w:val="28"/>
                <w:szCs w:val="28"/>
              </w:rPr>
              <w:t>须提供包括放电参数在内的蓄电池产品资料。</w:t>
            </w:r>
          </w:p>
          <w:p w:rsidR="00FD5027" w:rsidRPr="0081503B" w:rsidRDefault="00FD5027" w:rsidP="00FD5027">
            <w:pPr>
              <w:rPr>
                <w:rFonts w:ascii="宋体" w:eastAsia="宋体" w:hAnsi="宋体"/>
                <w:sz w:val="28"/>
                <w:szCs w:val="28"/>
              </w:rPr>
            </w:pPr>
            <w:r w:rsidRPr="0081503B">
              <w:rPr>
                <w:rFonts w:ascii="宋体" w:eastAsia="宋体" w:hAnsi="宋体"/>
                <w:sz w:val="28"/>
                <w:szCs w:val="28"/>
              </w:rPr>
              <w:t>6</w:t>
            </w:r>
            <w:r w:rsidRPr="0081503B">
              <w:rPr>
                <w:rFonts w:ascii="宋体" w:eastAsia="宋体" w:hAnsi="宋体" w:hint="eastAsia"/>
                <w:sz w:val="28"/>
                <w:szCs w:val="28"/>
              </w:rPr>
              <w:t>、</w:t>
            </w:r>
            <w:r w:rsidRPr="0081503B">
              <w:rPr>
                <w:rFonts w:ascii="宋体" w:eastAsia="宋体" w:hAnsi="宋体"/>
                <w:sz w:val="28"/>
                <w:szCs w:val="28"/>
              </w:rPr>
              <w:t>蓄电池采用全密封防泄漏结构，</w:t>
            </w:r>
            <w:r w:rsidRPr="0081503B">
              <w:rPr>
                <w:rFonts w:ascii="宋体" w:eastAsia="宋体" w:hAnsi="宋体" w:hint="eastAsia"/>
                <w:sz w:val="28"/>
                <w:szCs w:val="28"/>
              </w:rPr>
              <w:t>外观无变形、漏液、裂纹及污迹，标识清晰；能承受5</w:t>
            </w:r>
            <w:r w:rsidRPr="0081503B">
              <w:rPr>
                <w:rFonts w:ascii="宋体" w:eastAsia="宋体" w:hAnsi="宋体"/>
                <w:sz w:val="28"/>
                <w:szCs w:val="28"/>
              </w:rPr>
              <w:t>0</w:t>
            </w:r>
            <w:r w:rsidRPr="0081503B">
              <w:rPr>
                <w:rFonts w:ascii="宋体" w:eastAsia="宋体" w:hAnsi="宋体" w:hint="eastAsia"/>
                <w:sz w:val="28"/>
                <w:szCs w:val="28"/>
              </w:rPr>
              <w:t>k</w:t>
            </w:r>
            <w:r w:rsidRPr="0081503B">
              <w:rPr>
                <w:rFonts w:ascii="宋体" w:eastAsia="宋体" w:hAnsi="宋体"/>
                <w:sz w:val="28"/>
                <w:szCs w:val="28"/>
              </w:rPr>
              <w:t>P</w:t>
            </w:r>
            <w:r w:rsidRPr="0081503B">
              <w:rPr>
                <w:rFonts w:ascii="宋体" w:eastAsia="宋体" w:hAnsi="宋体" w:hint="eastAsia"/>
                <w:sz w:val="28"/>
                <w:szCs w:val="28"/>
              </w:rPr>
              <w:t>a的正压或者负压不破裂、</w:t>
            </w:r>
            <w:proofErr w:type="gramStart"/>
            <w:r w:rsidRPr="0081503B">
              <w:rPr>
                <w:rFonts w:ascii="宋体" w:eastAsia="宋体" w:hAnsi="宋体" w:hint="eastAsia"/>
                <w:sz w:val="28"/>
                <w:szCs w:val="28"/>
              </w:rPr>
              <w:t>不</w:t>
            </w:r>
            <w:proofErr w:type="gramEnd"/>
            <w:r w:rsidRPr="0081503B">
              <w:rPr>
                <w:rFonts w:ascii="宋体" w:eastAsia="宋体" w:hAnsi="宋体" w:hint="eastAsia"/>
                <w:sz w:val="28"/>
                <w:szCs w:val="28"/>
              </w:rPr>
              <w:t>开胶、压力释放后壳体无残余变形，正</w:t>
            </w:r>
            <w:r w:rsidRPr="0081503B">
              <w:rPr>
                <w:rFonts w:ascii="宋体" w:eastAsia="宋体" w:hAnsi="宋体"/>
                <w:sz w:val="28"/>
                <w:szCs w:val="28"/>
              </w:rPr>
              <w:t>常</w:t>
            </w:r>
            <w:r w:rsidRPr="0081503B">
              <w:rPr>
                <w:rFonts w:ascii="宋体" w:eastAsia="宋体" w:hAnsi="宋体" w:hint="eastAsia"/>
                <w:sz w:val="28"/>
                <w:szCs w:val="28"/>
              </w:rPr>
              <w:t>浮充</w:t>
            </w:r>
            <w:r w:rsidRPr="0081503B">
              <w:rPr>
                <w:rFonts w:ascii="宋体" w:eastAsia="宋体" w:hAnsi="宋体"/>
                <w:sz w:val="28"/>
                <w:szCs w:val="28"/>
              </w:rPr>
              <w:t>工作</w:t>
            </w:r>
            <w:r w:rsidRPr="0081503B">
              <w:rPr>
                <w:rFonts w:ascii="宋体" w:eastAsia="宋体" w:hAnsi="宋体" w:hint="eastAsia"/>
                <w:sz w:val="28"/>
                <w:szCs w:val="28"/>
              </w:rPr>
              <w:t>过程中</w:t>
            </w:r>
            <w:r w:rsidRPr="0081503B">
              <w:rPr>
                <w:rFonts w:ascii="宋体" w:eastAsia="宋体" w:hAnsi="宋体"/>
                <w:sz w:val="28"/>
                <w:szCs w:val="28"/>
              </w:rPr>
              <w:t>无酸雾逸出</w:t>
            </w:r>
            <w:r w:rsidRPr="0081503B">
              <w:rPr>
                <w:rFonts w:ascii="宋体" w:eastAsia="宋体" w:hAnsi="宋体" w:hint="eastAsia"/>
                <w:sz w:val="28"/>
                <w:szCs w:val="28"/>
              </w:rPr>
              <w:t>。需提供所投产品系列的经C</w:t>
            </w:r>
            <w:r w:rsidRPr="0081503B">
              <w:rPr>
                <w:rFonts w:ascii="宋体" w:eastAsia="宋体" w:hAnsi="宋体"/>
                <w:sz w:val="28"/>
                <w:szCs w:val="28"/>
              </w:rPr>
              <w:t>MA</w:t>
            </w:r>
            <w:r w:rsidRPr="0081503B">
              <w:rPr>
                <w:rFonts w:ascii="宋体" w:eastAsia="宋体" w:hAnsi="宋体" w:hint="eastAsia"/>
                <w:sz w:val="28"/>
                <w:szCs w:val="28"/>
              </w:rPr>
              <w:t>或C</w:t>
            </w:r>
            <w:r w:rsidRPr="0081503B">
              <w:rPr>
                <w:rFonts w:ascii="宋体" w:eastAsia="宋体" w:hAnsi="宋体"/>
                <w:sz w:val="28"/>
                <w:szCs w:val="28"/>
              </w:rPr>
              <w:t>NAS</w:t>
            </w:r>
            <w:r w:rsidRPr="0081503B">
              <w:rPr>
                <w:rFonts w:ascii="宋体" w:eastAsia="宋体" w:hAnsi="宋体" w:hint="eastAsia"/>
                <w:sz w:val="28"/>
                <w:szCs w:val="28"/>
              </w:rPr>
              <w:t>认证的检测机构出具的检验报告。</w:t>
            </w:r>
          </w:p>
          <w:p w:rsidR="00FD5027" w:rsidRPr="0081503B" w:rsidRDefault="00FD5027" w:rsidP="00FD5027">
            <w:pPr>
              <w:rPr>
                <w:rFonts w:ascii="宋体" w:eastAsia="宋体" w:hAnsi="宋体"/>
                <w:sz w:val="28"/>
                <w:szCs w:val="28"/>
              </w:rPr>
            </w:pPr>
            <w:r w:rsidRPr="0081503B">
              <w:rPr>
                <w:rFonts w:ascii="宋体" w:eastAsia="宋体" w:hAnsi="宋体"/>
                <w:sz w:val="28"/>
                <w:szCs w:val="28"/>
              </w:rPr>
              <w:t>7</w:t>
            </w:r>
            <w:r w:rsidRPr="0081503B">
              <w:rPr>
                <w:rFonts w:ascii="宋体" w:eastAsia="宋体" w:hAnsi="宋体" w:hint="eastAsia"/>
                <w:sz w:val="28"/>
                <w:szCs w:val="28"/>
              </w:rPr>
              <w:t>、</w:t>
            </w:r>
            <w:r w:rsidRPr="0081503B">
              <w:rPr>
                <w:rFonts w:ascii="宋体" w:eastAsia="宋体" w:hAnsi="宋体"/>
                <w:sz w:val="28"/>
                <w:szCs w:val="28"/>
              </w:rPr>
              <w:t>蓄电池30安培电流放电3分钟后，极柱</w:t>
            </w:r>
            <w:proofErr w:type="gramStart"/>
            <w:r w:rsidRPr="0081503B">
              <w:rPr>
                <w:rFonts w:ascii="宋体" w:eastAsia="宋体" w:hAnsi="宋体"/>
                <w:sz w:val="28"/>
                <w:szCs w:val="28"/>
              </w:rPr>
              <w:t>不</w:t>
            </w:r>
            <w:proofErr w:type="gramEnd"/>
            <w:r w:rsidRPr="0081503B">
              <w:rPr>
                <w:rFonts w:ascii="宋体" w:eastAsia="宋体" w:hAnsi="宋体"/>
                <w:sz w:val="28"/>
                <w:szCs w:val="28"/>
              </w:rPr>
              <w:t>熔断，</w:t>
            </w:r>
            <w:r w:rsidRPr="0081503B">
              <w:rPr>
                <w:rFonts w:ascii="宋体" w:eastAsia="宋体" w:hAnsi="宋体" w:hint="eastAsia"/>
                <w:sz w:val="28"/>
                <w:szCs w:val="28"/>
              </w:rPr>
              <w:t>内部汇流排</w:t>
            </w:r>
            <w:proofErr w:type="gramStart"/>
            <w:r w:rsidRPr="0081503B">
              <w:rPr>
                <w:rFonts w:ascii="宋体" w:eastAsia="宋体" w:hAnsi="宋体" w:hint="eastAsia"/>
                <w:sz w:val="28"/>
                <w:szCs w:val="28"/>
              </w:rPr>
              <w:t>不</w:t>
            </w:r>
            <w:proofErr w:type="gramEnd"/>
            <w:r w:rsidRPr="0081503B">
              <w:rPr>
                <w:rFonts w:ascii="宋体" w:eastAsia="宋体" w:hAnsi="宋体" w:hint="eastAsia"/>
                <w:sz w:val="28"/>
                <w:szCs w:val="28"/>
              </w:rPr>
              <w:t>熔断，</w:t>
            </w:r>
            <w:r w:rsidRPr="0081503B">
              <w:rPr>
                <w:rFonts w:ascii="宋体" w:eastAsia="宋体" w:hAnsi="宋体"/>
                <w:sz w:val="28"/>
                <w:szCs w:val="28"/>
              </w:rPr>
              <w:t>外观不出现异常；蓄电池的密封反应效率不低于95％</w:t>
            </w:r>
            <w:r w:rsidRPr="0081503B">
              <w:rPr>
                <w:rFonts w:ascii="宋体" w:eastAsia="宋体" w:hAnsi="宋体" w:hint="eastAsia"/>
                <w:sz w:val="28"/>
                <w:szCs w:val="28"/>
              </w:rPr>
              <w:t>。需提供所投产</w:t>
            </w:r>
            <w:proofErr w:type="gramStart"/>
            <w:r w:rsidRPr="0081503B">
              <w:rPr>
                <w:rFonts w:ascii="宋体" w:eastAsia="宋体" w:hAnsi="宋体" w:hint="eastAsia"/>
                <w:sz w:val="28"/>
                <w:szCs w:val="28"/>
              </w:rPr>
              <w:t>品系列经</w:t>
            </w:r>
            <w:proofErr w:type="gramEnd"/>
            <w:r w:rsidRPr="0081503B">
              <w:rPr>
                <w:rFonts w:ascii="宋体" w:eastAsia="宋体" w:hAnsi="宋体" w:hint="eastAsia"/>
                <w:sz w:val="28"/>
                <w:szCs w:val="28"/>
              </w:rPr>
              <w:t>C</w:t>
            </w:r>
            <w:r w:rsidRPr="0081503B">
              <w:rPr>
                <w:rFonts w:ascii="宋体" w:eastAsia="宋体" w:hAnsi="宋体"/>
                <w:sz w:val="28"/>
                <w:szCs w:val="28"/>
              </w:rPr>
              <w:t>MA</w:t>
            </w:r>
            <w:r w:rsidRPr="0081503B">
              <w:rPr>
                <w:rFonts w:ascii="宋体" w:eastAsia="宋体" w:hAnsi="宋体" w:hint="eastAsia"/>
                <w:sz w:val="28"/>
                <w:szCs w:val="28"/>
              </w:rPr>
              <w:t>或C</w:t>
            </w:r>
            <w:r w:rsidRPr="0081503B">
              <w:rPr>
                <w:rFonts w:ascii="宋体" w:eastAsia="宋体" w:hAnsi="宋体"/>
                <w:sz w:val="28"/>
                <w:szCs w:val="28"/>
              </w:rPr>
              <w:t>NAS</w:t>
            </w:r>
            <w:r w:rsidRPr="0081503B">
              <w:rPr>
                <w:rFonts w:ascii="宋体" w:eastAsia="宋体" w:hAnsi="宋体" w:hint="eastAsia"/>
                <w:sz w:val="28"/>
                <w:szCs w:val="28"/>
              </w:rPr>
              <w:t>认证的检测机构出具的检验报告。</w:t>
            </w:r>
          </w:p>
          <w:p w:rsidR="00FD5027" w:rsidRPr="0081503B" w:rsidRDefault="00FD5027" w:rsidP="00FD5027">
            <w:pPr>
              <w:rPr>
                <w:rFonts w:ascii="宋体" w:eastAsia="宋体" w:hAnsi="宋体"/>
                <w:sz w:val="28"/>
                <w:szCs w:val="28"/>
              </w:rPr>
            </w:pPr>
            <w:r w:rsidRPr="0081503B">
              <w:rPr>
                <w:rFonts w:ascii="宋体" w:eastAsia="宋体" w:hAnsi="宋体"/>
                <w:sz w:val="28"/>
                <w:szCs w:val="28"/>
              </w:rPr>
              <w:t>8</w:t>
            </w:r>
            <w:r w:rsidRPr="0081503B">
              <w:rPr>
                <w:rFonts w:ascii="宋体" w:eastAsia="宋体" w:hAnsi="宋体" w:hint="eastAsia"/>
                <w:sz w:val="28"/>
                <w:szCs w:val="28"/>
              </w:rPr>
              <w:t>、同组蓄电池10h率容量试验时，最大实际容量与最小实际容量差值应不大于5％。需提供所投产</w:t>
            </w:r>
            <w:proofErr w:type="gramStart"/>
            <w:r w:rsidRPr="0081503B">
              <w:rPr>
                <w:rFonts w:ascii="宋体" w:eastAsia="宋体" w:hAnsi="宋体" w:hint="eastAsia"/>
                <w:sz w:val="28"/>
                <w:szCs w:val="28"/>
              </w:rPr>
              <w:t>品系列经</w:t>
            </w:r>
            <w:proofErr w:type="gramEnd"/>
            <w:r w:rsidRPr="0081503B">
              <w:rPr>
                <w:rFonts w:ascii="宋体" w:eastAsia="宋体" w:hAnsi="宋体" w:hint="eastAsia"/>
                <w:sz w:val="28"/>
                <w:szCs w:val="28"/>
              </w:rPr>
              <w:t>C</w:t>
            </w:r>
            <w:r w:rsidRPr="0081503B">
              <w:rPr>
                <w:rFonts w:ascii="宋体" w:eastAsia="宋体" w:hAnsi="宋体"/>
                <w:sz w:val="28"/>
                <w:szCs w:val="28"/>
              </w:rPr>
              <w:t>MA</w:t>
            </w:r>
            <w:r w:rsidRPr="0081503B">
              <w:rPr>
                <w:rFonts w:ascii="宋体" w:eastAsia="宋体" w:hAnsi="宋体" w:hint="eastAsia"/>
                <w:sz w:val="28"/>
                <w:szCs w:val="28"/>
              </w:rPr>
              <w:t>或C</w:t>
            </w:r>
            <w:r w:rsidRPr="0081503B">
              <w:rPr>
                <w:rFonts w:ascii="宋体" w:eastAsia="宋体" w:hAnsi="宋体"/>
                <w:sz w:val="28"/>
                <w:szCs w:val="28"/>
              </w:rPr>
              <w:t>NAS</w:t>
            </w:r>
            <w:r w:rsidRPr="0081503B">
              <w:rPr>
                <w:rFonts w:ascii="宋体" w:eastAsia="宋体" w:hAnsi="宋体" w:hint="eastAsia"/>
                <w:sz w:val="28"/>
                <w:szCs w:val="28"/>
              </w:rPr>
              <w:t>认证的检测机构出具的检验报告。</w:t>
            </w:r>
          </w:p>
          <w:p w:rsidR="009917FC" w:rsidRPr="00FD5027" w:rsidRDefault="00FD5027" w:rsidP="00FD5027">
            <w:pPr>
              <w:rPr>
                <w:rFonts w:ascii="宋体" w:eastAsia="宋体" w:hAnsi="宋体"/>
                <w:sz w:val="28"/>
                <w:szCs w:val="28"/>
              </w:rPr>
            </w:pPr>
            <w:r w:rsidRPr="0081503B">
              <w:rPr>
                <w:rFonts w:ascii="宋体" w:eastAsia="宋体" w:hAnsi="宋体"/>
                <w:sz w:val="28"/>
                <w:szCs w:val="28"/>
              </w:rPr>
              <w:t>9</w:t>
            </w:r>
            <w:r w:rsidRPr="0081503B">
              <w:rPr>
                <w:rFonts w:ascii="宋体" w:eastAsia="宋体" w:hAnsi="宋体" w:hint="eastAsia"/>
                <w:sz w:val="28"/>
                <w:szCs w:val="28"/>
              </w:rPr>
              <w:t>、</w:t>
            </w:r>
            <w:r w:rsidRPr="0081503B">
              <w:rPr>
                <w:rFonts w:ascii="宋体" w:eastAsia="宋体" w:hAnsi="宋体"/>
                <w:sz w:val="28"/>
                <w:szCs w:val="28"/>
              </w:rPr>
              <w:t>单体蓄电池和由若干个单体组成一体的组合蓄电池，其各电池</w:t>
            </w:r>
            <w:r w:rsidRPr="0081503B">
              <w:rPr>
                <w:rFonts w:ascii="宋体" w:eastAsia="宋体" w:hAnsi="宋体"/>
                <w:sz w:val="28"/>
                <w:szCs w:val="28"/>
              </w:rPr>
              <w:lastRenderedPageBreak/>
              <w:t>间的开路电压</w:t>
            </w:r>
            <w:r w:rsidRPr="0081503B">
              <w:rPr>
                <w:rFonts w:ascii="宋体" w:eastAsia="宋体" w:hAnsi="宋体" w:hint="eastAsia"/>
                <w:sz w:val="28"/>
                <w:szCs w:val="28"/>
              </w:rPr>
              <w:t>最高与最低差值应≤</w:t>
            </w:r>
            <w:r w:rsidRPr="0081503B">
              <w:rPr>
                <w:rFonts w:ascii="宋体" w:eastAsia="宋体" w:hAnsi="宋体"/>
                <w:sz w:val="28"/>
                <w:szCs w:val="28"/>
              </w:rPr>
              <w:t>100mV</w:t>
            </w:r>
            <w:r w:rsidRPr="0081503B">
              <w:rPr>
                <w:rFonts w:ascii="宋体" w:eastAsia="宋体" w:hAnsi="宋体" w:hint="eastAsia"/>
                <w:sz w:val="28"/>
                <w:szCs w:val="28"/>
              </w:rPr>
              <w:t>。</w:t>
            </w:r>
            <w:r w:rsidRPr="0081503B">
              <w:rPr>
                <w:rFonts w:ascii="宋体" w:eastAsia="宋体" w:hAnsi="宋体"/>
                <w:sz w:val="28"/>
                <w:szCs w:val="28"/>
              </w:rPr>
              <w:t>蓄电池进入浮</w:t>
            </w:r>
            <w:proofErr w:type="gramStart"/>
            <w:r w:rsidRPr="0081503B">
              <w:rPr>
                <w:rFonts w:ascii="宋体" w:eastAsia="宋体" w:hAnsi="宋体"/>
                <w:sz w:val="28"/>
                <w:szCs w:val="28"/>
              </w:rPr>
              <w:t>充状态</w:t>
            </w:r>
            <w:proofErr w:type="gramEnd"/>
            <w:r w:rsidRPr="0081503B">
              <w:rPr>
                <w:rFonts w:ascii="宋体" w:eastAsia="宋体" w:hAnsi="宋体"/>
                <w:sz w:val="28"/>
                <w:szCs w:val="28"/>
              </w:rPr>
              <w:t>后24h后,各蓄电池之间的端电压差应≤480mV。</w:t>
            </w:r>
            <w:r w:rsidRPr="0081503B">
              <w:rPr>
                <w:rFonts w:ascii="宋体" w:eastAsia="宋体" w:hAnsi="宋体" w:hint="eastAsia"/>
                <w:sz w:val="28"/>
                <w:szCs w:val="28"/>
              </w:rPr>
              <w:t>需提供所投产</w:t>
            </w:r>
            <w:proofErr w:type="gramStart"/>
            <w:r w:rsidRPr="0081503B">
              <w:rPr>
                <w:rFonts w:ascii="宋体" w:eastAsia="宋体" w:hAnsi="宋体" w:hint="eastAsia"/>
                <w:sz w:val="28"/>
                <w:szCs w:val="28"/>
              </w:rPr>
              <w:t>品系列经</w:t>
            </w:r>
            <w:proofErr w:type="gramEnd"/>
            <w:r w:rsidRPr="0081503B">
              <w:rPr>
                <w:rFonts w:ascii="宋体" w:eastAsia="宋体" w:hAnsi="宋体" w:hint="eastAsia"/>
                <w:sz w:val="28"/>
                <w:szCs w:val="28"/>
              </w:rPr>
              <w:t>C</w:t>
            </w:r>
            <w:r w:rsidRPr="0081503B">
              <w:rPr>
                <w:rFonts w:ascii="宋体" w:eastAsia="宋体" w:hAnsi="宋体"/>
                <w:sz w:val="28"/>
                <w:szCs w:val="28"/>
              </w:rPr>
              <w:t>MA</w:t>
            </w:r>
            <w:r w:rsidRPr="0081503B">
              <w:rPr>
                <w:rFonts w:ascii="宋体" w:eastAsia="宋体" w:hAnsi="宋体" w:hint="eastAsia"/>
                <w:sz w:val="28"/>
                <w:szCs w:val="28"/>
              </w:rPr>
              <w:t>或C</w:t>
            </w:r>
            <w:r w:rsidRPr="0081503B">
              <w:rPr>
                <w:rFonts w:ascii="宋体" w:eastAsia="宋体" w:hAnsi="宋体"/>
                <w:sz w:val="28"/>
                <w:szCs w:val="28"/>
              </w:rPr>
              <w:t>NAS</w:t>
            </w:r>
            <w:r w:rsidRPr="0081503B">
              <w:rPr>
                <w:rFonts w:ascii="宋体" w:eastAsia="宋体" w:hAnsi="宋体" w:hint="eastAsia"/>
                <w:sz w:val="28"/>
                <w:szCs w:val="28"/>
              </w:rPr>
              <w:t>认证的检测机构出具的检验报告。</w:t>
            </w:r>
          </w:p>
          <w:p w:rsidR="009917FC" w:rsidRDefault="009917FC">
            <w:pPr>
              <w:rPr>
                <w:rFonts w:ascii="宋体" w:eastAsia="宋体" w:hAnsi="宋体"/>
                <w:sz w:val="28"/>
                <w:szCs w:val="28"/>
              </w:rPr>
            </w:pPr>
          </w:p>
          <w:p w:rsidR="00FC6E27" w:rsidRPr="009917FC" w:rsidRDefault="00FC6E27">
            <w:pPr>
              <w:rPr>
                <w:rFonts w:ascii="宋体" w:eastAsia="宋体" w:hAnsi="宋体"/>
                <w:sz w:val="28"/>
                <w:szCs w:val="28"/>
              </w:rPr>
            </w:pPr>
          </w:p>
          <w:p w:rsidR="00F06A8F" w:rsidRPr="00F06A8F" w:rsidRDefault="009917FC" w:rsidP="008112AF">
            <w:pPr>
              <w:rPr>
                <w:rFonts w:ascii="宋体" w:eastAsia="宋体" w:hAnsi="宋体"/>
                <w:sz w:val="28"/>
                <w:szCs w:val="28"/>
              </w:rPr>
            </w:pPr>
            <w:r w:rsidRPr="009917FC">
              <w:rPr>
                <w:rFonts w:ascii="宋体" w:eastAsia="宋体" w:hAnsi="宋体" w:hint="eastAsia"/>
                <w:sz w:val="28"/>
                <w:szCs w:val="28"/>
              </w:rPr>
              <w:t xml:space="preserve">　　　　　　　　　　　　　　　　　　</w:t>
            </w:r>
            <w:r w:rsidR="008112AF">
              <w:rPr>
                <w:rFonts w:ascii="宋体" w:eastAsia="宋体" w:hAnsi="宋体" w:hint="eastAsia"/>
                <w:sz w:val="28"/>
                <w:szCs w:val="28"/>
              </w:rPr>
              <w:t xml:space="preserve"> </w:t>
            </w:r>
          </w:p>
        </w:tc>
      </w:tr>
    </w:tbl>
    <w:p w:rsidR="00F06A8F" w:rsidRPr="00F06A8F" w:rsidRDefault="008112AF" w:rsidP="00F06A8F">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p>
    <w:sectPr w:rsidR="00F06A8F" w:rsidRPr="00F06A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732" w:rsidRDefault="007F0732" w:rsidP="00731DE1">
      <w:r>
        <w:separator/>
      </w:r>
    </w:p>
  </w:endnote>
  <w:endnote w:type="continuationSeparator" w:id="0">
    <w:p w:rsidR="007F0732" w:rsidRDefault="007F0732" w:rsidP="0073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732" w:rsidRDefault="007F0732" w:rsidP="00731DE1">
      <w:r>
        <w:separator/>
      </w:r>
    </w:p>
  </w:footnote>
  <w:footnote w:type="continuationSeparator" w:id="0">
    <w:p w:rsidR="007F0732" w:rsidRDefault="007F0732" w:rsidP="00731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C205F"/>
    <w:multiLevelType w:val="hybridMultilevel"/>
    <w:tmpl w:val="453A22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421E23"/>
    <w:multiLevelType w:val="hybridMultilevel"/>
    <w:tmpl w:val="453A22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FC"/>
    <w:rsid w:val="00023431"/>
    <w:rsid w:val="00037CA3"/>
    <w:rsid w:val="00077372"/>
    <w:rsid w:val="0011746F"/>
    <w:rsid w:val="001305CB"/>
    <w:rsid w:val="00132D30"/>
    <w:rsid w:val="001370FC"/>
    <w:rsid w:val="003372BD"/>
    <w:rsid w:val="00366A17"/>
    <w:rsid w:val="003C1521"/>
    <w:rsid w:val="004D46FA"/>
    <w:rsid w:val="004F6E2B"/>
    <w:rsid w:val="00516148"/>
    <w:rsid w:val="00615C25"/>
    <w:rsid w:val="0064085D"/>
    <w:rsid w:val="00731DE1"/>
    <w:rsid w:val="00792C34"/>
    <w:rsid w:val="007C0E4C"/>
    <w:rsid w:val="007F0732"/>
    <w:rsid w:val="008112AF"/>
    <w:rsid w:val="0081503B"/>
    <w:rsid w:val="0085369C"/>
    <w:rsid w:val="00866F1C"/>
    <w:rsid w:val="008F3EAB"/>
    <w:rsid w:val="009917FC"/>
    <w:rsid w:val="00A36A3E"/>
    <w:rsid w:val="00B24A10"/>
    <w:rsid w:val="00CD1CE8"/>
    <w:rsid w:val="00D31C40"/>
    <w:rsid w:val="00DC5603"/>
    <w:rsid w:val="00DD1FB5"/>
    <w:rsid w:val="00F027AB"/>
    <w:rsid w:val="00F06A8F"/>
    <w:rsid w:val="00F72A6B"/>
    <w:rsid w:val="00F95FD1"/>
    <w:rsid w:val="00FA0731"/>
    <w:rsid w:val="00FC6E27"/>
    <w:rsid w:val="00FD5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31D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31DE1"/>
    <w:rPr>
      <w:sz w:val="18"/>
      <w:szCs w:val="18"/>
    </w:rPr>
  </w:style>
  <w:style w:type="paragraph" w:styleId="a5">
    <w:name w:val="footer"/>
    <w:basedOn w:val="a"/>
    <w:link w:val="Char0"/>
    <w:uiPriority w:val="99"/>
    <w:unhideWhenUsed/>
    <w:rsid w:val="00731DE1"/>
    <w:pPr>
      <w:tabs>
        <w:tab w:val="center" w:pos="4153"/>
        <w:tab w:val="right" w:pos="8306"/>
      </w:tabs>
      <w:snapToGrid w:val="0"/>
      <w:jc w:val="left"/>
    </w:pPr>
    <w:rPr>
      <w:sz w:val="18"/>
      <w:szCs w:val="18"/>
    </w:rPr>
  </w:style>
  <w:style w:type="character" w:customStyle="1" w:styleId="Char0">
    <w:name w:val="页脚 Char"/>
    <w:basedOn w:val="a0"/>
    <w:link w:val="a5"/>
    <w:uiPriority w:val="99"/>
    <w:rsid w:val="00731DE1"/>
    <w:rPr>
      <w:sz w:val="18"/>
      <w:szCs w:val="18"/>
    </w:rPr>
  </w:style>
  <w:style w:type="paragraph" w:styleId="a6">
    <w:name w:val="List Paragraph"/>
    <w:basedOn w:val="a"/>
    <w:uiPriority w:val="99"/>
    <w:rsid w:val="00A36A3E"/>
    <w:pPr>
      <w:spacing w:after="160" w:line="259" w:lineRule="auto"/>
      <w:ind w:left="720"/>
      <w:contextualSpacing/>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31D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31DE1"/>
    <w:rPr>
      <w:sz w:val="18"/>
      <w:szCs w:val="18"/>
    </w:rPr>
  </w:style>
  <w:style w:type="paragraph" w:styleId="a5">
    <w:name w:val="footer"/>
    <w:basedOn w:val="a"/>
    <w:link w:val="Char0"/>
    <w:uiPriority w:val="99"/>
    <w:unhideWhenUsed/>
    <w:rsid w:val="00731DE1"/>
    <w:pPr>
      <w:tabs>
        <w:tab w:val="center" w:pos="4153"/>
        <w:tab w:val="right" w:pos="8306"/>
      </w:tabs>
      <w:snapToGrid w:val="0"/>
      <w:jc w:val="left"/>
    </w:pPr>
    <w:rPr>
      <w:sz w:val="18"/>
      <w:szCs w:val="18"/>
    </w:rPr>
  </w:style>
  <w:style w:type="character" w:customStyle="1" w:styleId="Char0">
    <w:name w:val="页脚 Char"/>
    <w:basedOn w:val="a0"/>
    <w:link w:val="a5"/>
    <w:uiPriority w:val="99"/>
    <w:rsid w:val="00731DE1"/>
    <w:rPr>
      <w:sz w:val="18"/>
      <w:szCs w:val="18"/>
    </w:rPr>
  </w:style>
  <w:style w:type="paragraph" w:styleId="a6">
    <w:name w:val="List Paragraph"/>
    <w:basedOn w:val="a"/>
    <w:uiPriority w:val="99"/>
    <w:rsid w:val="00A36A3E"/>
    <w:pPr>
      <w:spacing w:after="160" w:line="259" w:lineRule="auto"/>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216</Words>
  <Characters>1236</Characters>
  <Application>Microsoft Office Word</Application>
  <DocSecurity>0</DocSecurity>
  <Lines>10</Lines>
  <Paragraphs>2</Paragraphs>
  <ScaleCrop>false</ScaleCrop>
  <Company>南京中医药大学</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翁翎</cp:lastModifiedBy>
  <cp:revision>17</cp:revision>
  <dcterms:created xsi:type="dcterms:W3CDTF">2020-10-26T02:26:00Z</dcterms:created>
  <dcterms:modified xsi:type="dcterms:W3CDTF">2020-10-27T08:18:00Z</dcterms:modified>
</cp:coreProperties>
</file>