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23" w:rsidRDefault="007D5A23">
      <w:pPr>
        <w:jc w:val="center"/>
        <w:rPr>
          <w:rFonts w:ascii="宋体" w:eastAsia="宋体" w:hAnsi="宋体"/>
          <w:sz w:val="32"/>
          <w:szCs w:val="32"/>
        </w:rPr>
      </w:pPr>
    </w:p>
    <w:p w:rsidR="007D5A23" w:rsidRDefault="00453C6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520" w:type="dxa"/>
        <w:tblLayout w:type="fixed"/>
        <w:tblLook w:val="04A0" w:firstRow="1" w:lastRow="0" w:firstColumn="1" w:lastColumn="0" w:noHBand="0" w:noVBand="1"/>
      </w:tblPr>
      <w:tblGrid>
        <w:gridCol w:w="2033"/>
        <w:gridCol w:w="873"/>
        <w:gridCol w:w="1602"/>
        <w:gridCol w:w="1747"/>
        <w:gridCol w:w="2265"/>
      </w:tblGrid>
      <w:tr w:rsidR="00453C69" w:rsidTr="00453C69">
        <w:tc>
          <w:tcPr>
            <w:tcW w:w="8520" w:type="dxa"/>
            <w:gridSpan w:val="5"/>
          </w:tcPr>
          <w:p w:rsidR="00453C69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53C69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振动排痰机</w:t>
            </w:r>
          </w:p>
        </w:tc>
      </w:tr>
      <w:tr w:rsidR="007D5A23" w:rsidTr="00453C69">
        <w:tc>
          <w:tcPr>
            <w:tcW w:w="2033" w:type="dxa"/>
          </w:tcPr>
          <w:p w:rsidR="007D5A23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75" w:type="dxa"/>
            <w:gridSpan w:val="2"/>
          </w:tcPr>
          <w:p w:rsidR="007D5A23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田老师</w:t>
            </w:r>
          </w:p>
        </w:tc>
        <w:tc>
          <w:tcPr>
            <w:tcW w:w="1747" w:type="dxa"/>
          </w:tcPr>
          <w:p w:rsidR="007D5A23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5" w:type="dxa"/>
          </w:tcPr>
          <w:p w:rsidR="007D5A23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15720800739</w:t>
            </w:r>
          </w:p>
        </w:tc>
      </w:tr>
      <w:tr w:rsidR="007D5A23" w:rsidTr="00453C69">
        <w:tc>
          <w:tcPr>
            <w:tcW w:w="2906" w:type="dxa"/>
            <w:gridSpan w:val="2"/>
          </w:tcPr>
          <w:p w:rsidR="007D5A23" w:rsidRDefault="0066438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614" w:type="dxa"/>
            <w:gridSpan w:val="3"/>
          </w:tcPr>
          <w:p w:rsidR="007D5A23" w:rsidRDefault="0066438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94000元</w:t>
            </w:r>
            <w:r w:rsidR="003533F2">
              <w:rPr>
                <w:rFonts w:ascii="宋体" w:eastAsia="宋体" w:hAnsi="宋体" w:hint="eastAsia"/>
                <w:sz w:val="28"/>
                <w:szCs w:val="28"/>
              </w:rPr>
              <w:t>（2台</w:t>
            </w:r>
            <w:bookmarkStart w:id="0" w:name="_GoBack"/>
            <w:bookmarkEnd w:id="0"/>
            <w:r w:rsidR="003533F2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7D5A23" w:rsidTr="00453C69">
        <w:trPr>
          <w:trHeight w:val="1301"/>
        </w:trPr>
        <w:tc>
          <w:tcPr>
            <w:tcW w:w="8520" w:type="dxa"/>
            <w:gridSpan w:val="5"/>
          </w:tcPr>
          <w:p w:rsidR="007D5A23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1.肺部廓清；2促进血液循环和淋巴回流，减轻水肿</w:t>
            </w:r>
            <w:r>
              <w:rPr>
                <w:rFonts w:ascii="宋体" w:eastAsia="宋体" w:hAnsi="宋体"/>
                <w:sz w:val="28"/>
                <w:szCs w:val="28"/>
              </w:rPr>
              <w:t>;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3减轻肌骨疼痛；4改善神经损伤后遗症，如中风后肌张力过高，关节活动度受限；5.促进难愈性创口愈合，如静脉溃疡，糖尿病足，压疮等。</w:t>
            </w:r>
          </w:p>
        </w:tc>
      </w:tr>
      <w:tr w:rsidR="007D5A23" w:rsidTr="00453C69">
        <w:trPr>
          <w:trHeight w:val="7141"/>
        </w:trPr>
        <w:tc>
          <w:tcPr>
            <w:tcW w:w="8520" w:type="dxa"/>
            <w:gridSpan w:val="5"/>
          </w:tcPr>
          <w:p w:rsidR="007D5A23" w:rsidRDefault="00453C69">
            <w:r>
              <w:rPr>
                <w:rFonts w:hint="eastAsia"/>
              </w:rPr>
              <w:t>技术参数：</w:t>
            </w:r>
          </w:p>
          <w:p w:rsidR="007D5A23" w:rsidRDefault="00453C69">
            <w:pPr>
              <w:pStyle w:val="1"/>
              <w:numPr>
                <w:ilvl w:val="0"/>
                <w:numId w:val="2"/>
              </w:numPr>
            </w:pPr>
            <w:r>
              <w:rPr>
                <w:rFonts w:hint="eastAsia"/>
              </w:rPr>
              <w:t>外观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设备表面应整洁，文字、符号和标识应清晰，不应有腐蚀、涂覆层剥落、明显划</w:t>
            </w:r>
            <w:r>
              <w:rPr>
                <w:rFonts w:hint="eastAsia"/>
                <w:spacing w:val="-14"/>
              </w:rPr>
              <w:t>色泽均匀，无划痕、裂纹等缺陷，与皮肤接触舒适；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 xml:space="preserve">设备紧固件应连接牢靠，功能开关及输出量控制机构均应安装准确、调节可靠。 </w:t>
            </w:r>
          </w:p>
          <w:p w:rsidR="007D5A23" w:rsidRDefault="00453C69">
            <w:pPr>
              <w:pStyle w:val="a"/>
              <w:numPr>
                <w:ilvl w:val="0"/>
                <w:numId w:val="2"/>
              </w:numPr>
            </w:pPr>
            <w:r>
              <w:rPr>
                <w:rFonts w:hint="eastAsia"/>
              </w:rPr>
              <w:t>主机尺寸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主机：320*</w:t>
            </w:r>
            <w:r>
              <w:rPr>
                <w:rFonts w:hint="cs"/>
                <w:cs/>
              </w:rPr>
              <w:t>3</w:t>
            </w:r>
            <w:r>
              <w:rPr>
                <w:rFonts w:hint="eastAsia"/>
              </w:rPr>
              <w:t xml:space="preserve">70*160mm； 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手持治疗头：290*72*72mm；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  <w:rPr>
                <w:spacing w:val="-14"/>
              </w:rPr>
            </w:pPr>
            <w:r>
              <w:rPr>
                <w:rFonts w:hint="eastAsia"/>
              </w:rPr>
              <w:t>靠垫治疗头：600*370*95mm</w:t>
            </w:r>
            <w:r>
              <w:rPr>
                <w:rFonts w:hint="eastAsia"/>
                <w:spacing w:val="-14"/>
              </w:rPr>
              <w:t>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允差±5mm。</w:t>
            </w:r>
          </w:p>
          <w:p w:rsidR="007D5A23" w:rsidRDefault="00453C69">
            <w:pPr>
              <w:pStyle w:val="a"/>
              <w:numPr>
                <w:ilvl w:val="0"/>
                <w:numId w:val="2"/>
              </w:numPr>
            </w:pPr>
            <w:r>
              <w:rPr>
                <w:rFonts w:hint="eastAsia"/>
              </w:rPr>
              <w:t>主机重量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主机：5.57kg；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手持治疗头：0.95kg；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靠垫治疗头：2.48kg。</w:t>
            </w:r>
          </w:p>
          <w:p w:rsidR="007D5A23" w:rsidRDefault="00453C69">
            <w:pPr>
              <w:pStyle w:val="1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</w:rPr>
              <w:t>工作环境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环境温度范围：</w:t>
            </w:r>
            <w:r>
              <w:t>5</w:t>
            </w:r>
            <w:r>
              <w:rPr>
                <w:rFonts w:hint="eastAsia"/>
              </w:rPr>
              <w:t>℃～</w:t>
            </w:r>
            <w:r>
              <w:t>40℃</w:t>
            </w:r>
            <w:r>
              <w:rPr>
                <w:rFonts w:hint="eastAsia"/>
              </w:rPr>
              <w:t>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相对湿度范围：</w:t>
            </w:r>
            <w:r>
              <w:t>25%</w:t>
            </w:r>
            <w:r>
              <w:rPr>
                <w:rFonts w:hint="eastAsia"/>
              </w:rPr>
              <w:t>～</w:t>
            </w:r>
            <w:r>
              <w:t>80%</w:t>
            </w:r>
            <w:r>
              <w:rPr>
                <w:rFonts w:hint="eastAsia"/>
              </w:rPr>
              <w:t xml:space="preserve">； 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大气压力范围：</w:t>
            </w:r>
            <w:r>
              <w:t>86kPa</w:t>
            </w:r>
            <w:r>
              <w:rPr>
                <w:rFonts w:hint="eastAsia"/>
              </w:rPr>
              <w:t>～</w:t>
            </w:r>
            <w:r>
              <w:t>106kPa</w:t>
            </w:r>
            <w:r>
              <w:rPr>
                <w:rFonts w:hint="eastAsia"/>
              </w:rPr>
              <w:t>；</w:t>
            </w:r>
          </w:p>
          <w:p w:rsidR="007D5A23" w:rsidRDefault="00453C69">
            <w:pPr>
              <w:pStyle w:val="1"/>
              <w:numPr>
                <w:ilvl w:val="0"/>
                <w:numId w:val="2"/>
              </w:numPr>
            </w:pPr>
            <w:r>
              <w:rPr>
                <w:rFonts w:hint="eastAsia"/>
              </w:rPr>
              <w:t>电源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适配器输入电压：</w:t>
            </w:r>
            <w:r>
              <w:t>AC220V</w:t>
            </w:r>
            <w:r>
              <w:rPr>
                <w:rFonts w:hint="eastAsia"/>
              </w:rPr>
              <w:t>，</w:t>
            </w:r>
            <w:r>
              <w:t>50Hz</w:t>
            </w:r>
            <w:r>
              <w:rPr>
                <w:rFonts w:hint="eastAsia"/>
              </w:rPr>
              <w:t>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额定功率：</w:t>
            </w:r>
            <w:r>
              <w:t>250VA</w:t>
            </w:r>
            <w:r>
              <w:rPr>
                <w:rFonts w:hint="eastAsia"/>
              </w:rPr>
              <w:t>；</w:t>
            </w:r>
          </w:p>
          <w:p w:rsidR="007D5A23" w:rsidRDefault="00453C69">
            <w:pPr>
              <w:pStyle w:val="1"/>
              <w:numPr>
                <w:ilvl w:val="0"/>
                <w:numId w:val="2"/>
              </w:numPr>
            </w:pPr>
            <w:r>
              <w:rPr>
                <w:rFonts w:hint="eastAsia"/>
              </w:rPr>
              <w:t>性能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振动频率：10～60Hz；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传导距离：软组织/肌肉组织：60～90cm；骨骼组织：90～120cm；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手持治疗头、靠垫治疗头的振幅值（</w:t>
            </w:r>
            <w:r>
              <w:rPr>
                <w:color w:val="FF0000"/>
              </w:rPr>
              <w:t>P-P</w:t>
            </w:r>
            <w:r>
              <w:rPr>
                <w:rFonts w:hint="eastAsia"/>
                <w:color w:val="FF0000"/>
              </w:rPr>
              <w:t xml:space="preserve">）均应不超过 </w:t>
            </w:r>
            <w:r>
              <w:rPr>
                <w:color w:val="FF0000"/>
              </w:rPr>
              <w:t>2mm</w:t>
            </w:r>
            <w:r>
              <w:rPr>
                <w:rFonts w:hint="eastAsia"/>
                <w:color w:val="FF0000"/>
              </w:rPr>
              <w:t>。</w:t>
            </w:r>
          </w:p>
          <w:p w:rsidR="007D5A23" w:rsidRDefault="00453C69">
            <w:pPr>
              <w:pStyle w:val="a"/>
              <w:numPr>
                <w:ilvl w:val="0"/>
                <w:numId w:val="2"/>
              </w:numPr>
            </w:pPr>
            <w:r>
              <w:rPr>
                <w:rFonts w:hint="eastAsia"/>
              </w:rPr>
              <w:t>功能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  <w:spacing w:val="-14"/>
              </w:rPr>
              <w:lastRenderedPageBreak/>
              <w:t>振动模式：</w:t>
            </w:r>
          </w:p>
          <w:p w:rsidR="007D5A23" w:rsidRDefault="00453C69">
            <w:pPr>
              <w:pStyle w:val="a"/>
              <w:numPr>
                <w:ilvl w:val="2"/>
                <w:numId w:val="2"/>
              </w:numPr>
            </w:pPr>
            <w:r>
              <w:rPr>
                <w:rFonts w:hint="eastAsia"/>
              </w:rPr>
              <w:t>标准模式（STD）</w:t>
            </w:r>
          </w:p>
          <w:p w:rsidR="007D5A23" w:rsidRDefault="00453C69">
            <w:pPr>
              <w:pStyle w:val="a"/>
              <w:numPr>
                <w:ilvl w:val="2"/>
                <w:numId w:val="2"/>
              </w:numPr>
            </w:pPr>
            <w:r>
              <w:rPr>
                <w:rFonts w:hint="eastAsia"/>
              </w:rPr>
              <w:t>摆动模式（</w:t>
            </w:r>
            <w:r>
              <w:t>CPM</w:t>
            </w:r>
            <w:r>
              <w:rPr>
                <w:rFonts w:hint="eastAsia"/>
              </w:rPr>
              <w:t>）</w:t>
            </w:r>
          </w:p>
          <w:p w:rsidR="007D5A23" w:rsidRDefault="00453C69">
            <w:pPr>
              <w:pStyle w:val="a"/>
              <w:numPr>
                <w:ilvl w:val="2"/>
                <w:numId w:val="2"/>
              </w:numPr>
            </w:pPr>
            <w:r>
              <w:rPr>
                <w:rFonts w:hint="eastAsia"/>
              </w:rPr>
              <w:t>上下模式（</w:t>
            </w:r>
            <w:r>
              <w:t>T/S</w:t>
            </w:r>
            <w:r>
              <w:rPr>
                <w:rFonts w:hint="eastAsia"/>
              </w:rPr>
              <w:t>）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定时范围：</w:t>
            </w:r>
            <w:r>
              <w:rPr>
                <w:rFonts w:hint="eastAsia"/>
                <w:spacing w:val="-14"/>
              </w:rPr>
              <w:t>与主机相连的各治疗头应可独立设置治疗时间，治疗时间范围：</w:t>
            </w:r>
            <w:r>
              <w:rPr>
                <w:spacing w:val="-14"/>
              </w:rPr>
              <w:t>5min</w:t>
            </w:r>
            <w:r>
              <w:rPr>
                <w:rFonts w:hint="eastAsia"/>
                <w:spacing w:val="-14"/>
              </w:rPr>
              <w:t>～</w:t>
            </w:r>
            <w:r>
              <w:rPr>
                <w:spacing w:val="-14"/>
              </w:rPr>
              <w:t>60min</w:t>
            </w:r>
            <w:r>
              <w:rPr>
                <w:rFonts w:hint="eastAsia"/>
                <w:spacing w:val="-14"/>
              </w:rPr>
              <w:t xml:space="preserve">， 步进 </w:t>
            </w:r>
            <w:r>
              <w:rPr>
                <w:spacing w:val="-14"/>
              </w:rPr>
              <w:t>5min</w:t>
            </w:r>
            <w:r>
              <w:rPr>
                <w:rFonts w:hint="eastAsia"/>
                <w:spacing w:val="-14"/>
              </w:rPr>
              <w:t xml:space="preserve">，共 </w:t>
            </w:r>
            <w:r>
              <w:rPr>
                <w:spacing w:val="-14"/>
              </w:rPr>
              <w:t xml:space="preserve">12 </w:t>
            </w:r>
            <w:r>
              <w:rPr>
                <w:rFonts w:hint="eastAsia"/>
                <w:spacing w:val="-14"/>
              </w:rPr>
              <w:t>个档位可调，误差不超过</w:t>
            </w:r>
            <w:r>
              <w:rPr>
                <w:spacing w:val="-14"/>
              </w:rPr>
              <w:t>±10%</w:t>
            </w:r>
            <w:r>
              <w:rPr>
                <w:rFonts w:hint="eastAsia"/>
                <w:spacing w:val="-14"/>
              </w:rPr>
              <w:t>。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  <w:spacing w:val="-14"/>
              </w:rPr>
              <w:t>定时精度：</w:t>
            </w:r>
            <w:r>
              <w:t>≤</w:t>
            </w:r>
            <w:r>
              <w:rPr>
                <w:rFonts w:hint="eastAsia"/>
                <w:sz w:val="21"/>
                <w:szCs w:val="21"/>
              </w:rPr>
              <w:t>±1min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pacing w:val="-14"/>
              </w:rPr>
              <w:t>；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强度调节：峰值</w:t>
            </w:r>
            <w:r>
              <w:rPr>
                <w:rFonts w:hint="eastAsia"/>
                <w:spacing w:val="-11"/>
              </w:rPr>
              <w:t>振动频率由低到高，</w:t>
            </w:r>
            <w:r>
              <w:rPr>
                <w:spacing w:val="-11"/>
              </w:rPr>
              <w:t>10Hz</w:t>
            </w:r>
            <w:r>
              <w:rPr>
                <w:rFonts w:hint="eastAsia"/>
                <w:spacing w:val="-11"/>
              </w:rPr>
              <w:t>～</w:t>
            </w:r>
            <w:r>
              <w:rPr>
                <w:spacing w:val="-11"/>
              </w:rPr>
              <w:t>60Hz</w:t>
            </w:r>
            <w:r>
              <w:rPr>
                <w:rFonts w:hint="eastAsia"/>
                <w:spacing w:val="-11"/>
              </w:rPr>
              <w:t xml:space="preserve">，步进 </w:t>
            </w:r>
            <w:r>
              <w:rPr>
                <w:spacing w:val="-11"/>
              </w:rPr>
              <w:t>5Hz</w:t>
            </w:r>
            <w:r>
              <w:rPr>
                <w:rFonts w:hint="eastAsia"/>
                <w:spacing w:val="-11"/>
              </w:rPr>
              <w:t xml:space="preserve">，共 </w:t>
            </w:r>
            <w:r>
              <w:rPr>
                <w:spacing w:val="-11"/>
              </w:rPr>
              <w:t xml:space="preserve">11 </w:t>
            </w:r>
            <w:r>
              <w:rPr>
                <w:rFonts w:hint="eastAsia"/>
                <w:spacing w:val="-11"/>
              </w:rPr>
              <w:t>档</w:t>
            </w:r>
            <w:r>
              <w:rPr>
                <w:rFonts w:hint="eastAsia"/>
                <w:spacing w:val="-5"/>
              </w:rPr>
              <w:t>；</w:t>
            </w:r>
          </w:p>
          <w:p w:rsidR="007D5A23" w:rsidRDefault="00453C69">
            <w:pPr>
              <w:pStyle w:val="1"/>
              <w:numPr>
                <w:ilvl w:val="1"/>
                <w:numId w:val="2"/>
              </w:numPr>
            </w:pPr>
            <w:r>
              <w:rPr>
                <w:rFonts w:hint="eastAsia"/>
              </w:rPr>
              <w:t>保存设置：若主机在设置时间到时后关机，下次开机需重新设置。</w:t>
            </w:r>
          </w:p>
          <w:p w:rsidR="007D5A23" w:rsidRDefault="00453C69">
            <w:pPr>
              <w:pStyle w:val="a"/>
              <w:numPr>
                <w:ilvl w:val="0"/>
                <w:numId w:val="2"/>
              </w:numPr>
            </w:pPr>
            <w:r>
              <w:rPr>
                <w:rFonts w:hint="eastAsia"/>
              </w:rPr>
              <w:t>安全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符合</w:t>
            </w:r>
            <w:r>
              <w:t>GB9706.1-2007</w:t>
            </w:r>
            <w:r>
              <w:rPr>
                <w:rFonts w:hint="eastAsia"/>
              </w:rPr>
              <w:t>的要求。</w:t>
            </w:r>
          </w:p>
          <w:p w:rsidR="007D5A23" w:rsidRDefault="00453C69">
            <w:pPr>
              <w:pStyle w:val="a"/>
              <w:numPr>
                <w:ilvl w:val="0"/>
                <w:numId w:val="2"/>
              </w:numPr>
            </w:pPr>
            <w:r>
              <w:rPr>
                <w:rFonts w:hint="eastAsia"/>
              </w:rPr>
              <w:t>电磁兼容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符合</w:t>
            </w:r>
            <w:r>
              <w:t>YY0505-2012</w:t>
            </w:r>
            <w:r>
              <w:rPr>
                <w:rFonts w:hint="eastAsia"/>
              </w:rPr>
              <w:t>的要求。</w:t>
            </w:r>
          </w:p>
          <w:p w:rsidR="007D5A23" w:rsidRDefault="00453C69">
            <w:pPr>
              <w:pStyle w:val="a"/>
              <w:numPr>
                <w:ilvl w:val="0"/>
                <w:numId w:val="2"/>
              </w:numPr>
            </w:pPr>
            <w:r>
              <w:rPr>
                <w:rFonts w:hint="eastAsia"/>
              </w:rPr>
              <w:t>原理</w:t>
            </w:r>
          </w:p>
          <w:p w:rsidR="007D5A23" w:rsidRDefault="00453C69">
            <w:pPr>
              <w:pStyle w:val="a"/>
              <w:numPr>
                <w:ilvl w:val="1"/>
                <w:numId w:val="2"/>
              </w:numPr>
            </w:pPr>
            <w:r>
              <w:rPr>
                <w:rFonts w:hint="eastAsia"/>
              </w:rPr>
              <w:t>电机带动特殊设计的偏心转子，配合减震装置产生规律的椭圆形运动，使得上下、左右、前后方向同时振动；产</w:t>
            </w:r>
            <w:r>
              <w:rPr>
                <w:rFonts w:hint="eastAsia"/>
                <w:color w:val="FF0000"/>
              </w:rPr>
              <w:t>生致密柔和的旋进式三维立体振动波，轴向z，径向x，径向y。三维振动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 xml:space="preserve">方向加速度不超过 </w:t>
            </w:r>
            <w:r>
              <w:rPr>
                <w:color w:val="FF0000"/>
              </w:rPr>
              <w:t>40m/s</w:t>
            </w:r>
            <w:r>
              <w:rPr>
                <w:color w:val="FF0000"/>
                <w:vertAlign w:val="superscript"/>
              </w:rPr>
              <w:t xml:space="preserve"> 2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color w:val="FF0000"/>
              </w:rPr>
              <w:t>Y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 xml:space="preserve">Z </w:t>
            </w:r>
            <w:r>
              <w:rPr>
                <w:rFonts w:hint="eastAsia"/>
                <w:color w:val="FF0000"/>
              </w:rPr>
              <w:t xml:space="preserve">方向加速度不超过 </w:t>
            </w:r>
            <w:r>
              <w:rPr>
                <w:color w:val="FF0000"/>
              </w:rPr>
              <w:t>60m/s</w:t>
            </w:r>
            <w:r>
              <w:rPr>
                <w:color w:val="FF0000"/>
                <w:vertAlign w:val="superscript"/>
              </w:rPr>
              <w:t xml:space="preserve"> 2</w:t>
            </w:r>
            <w:r>
              <w:rPr>
                <w:rFonts w:hint="eastAsia"/>
                <w:color w:val="FF0000"/>
              </w:rPr>
              <w:t>；靠垫治疗头应在振动频率可设置范围内：</w:t>
            </w:r>
            <w:r>
              <w:rPr>
                <w:color w:val="FF0000"/>
              </w:rPr>
              <w:t xml:space="preserve">X </w:t>
            </w:r>
            <w:r>
              <w:rPr>
                <w:rFonts w:hint="eastAsia"/>
                <w:color w:val="FF0000"/>
              </w:rPr>
              <w:t xml:space="preserve">方向加速度不超过 </w:t>
            </w:r>
            <w:r>
              <w:rPr>
                <w:color w:val="FF0000"/>
              </w:rPr>
              <w:t>80m/s</w:t>
            </w:r>
            <w:r>
              <w:rPr>
                <w:color w:val="FF0000"/>
                <w:vertAlign w:val="superscript"/>
              </w:rPr>
              <w:t xml:space="preserve"> 2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color w:val="FF0000"/>
              </w:rPr>
              <w:t xml:space="preserve">Y </w:t>
            </w:r>
            <w:r>
              <w:rPr>
                <w:rFonts w:hint="eastAsia"/>
                <w:color w:val="FF0000"/>
              </w:rPr>
              <w:t>方向加速度值不超</w:t>
            </w:r>
            <w:r>
              <w:rPr>
                <w:color w:val="FF0000"/>
              </w:rPr>
              <w:t xml:space="preserve">10m/s 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color w:val="FF0000"/>
              </w:rPr>
              <w:t xml:space="preserve">Z </w:t>
            </w:r>
            <w:r>
              <w:rPr>
                <w:rFonts w:hint="eastAsia"/>
                <w:color w:val="FF0000"/>
              </w:rPr>
              <w:t xml:space="preserve">方向加速度值不超过 </w:t>
            </w:r>
            <w:r>
              <w:rPr>
                <w:color w:val="FF0000"/>
              </w:rPr>
              <w:t>60m/s</w:t>
            </w:r>
            <w:r>
              <w:rPr>
                <w:color w:val="FF0000"/>
                <w:vertAlign w:val="superscript"/>
              </w:rPr>
              <w:t xml:space="preserve"> 2</w:t>
            </w:r>
            <w:r>
              <w:rPr>
                <w:rFonts w:hint="eastAsia"/>
                <w:color w:val="FF0000"/>
              </w:rPr>
              <w:t>。</w:t>
            </w:r>
          </w:p>
          <w:p w:rsidR="007D5A23" w:rsidRDefault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</w:rPr>
              <w:t>振动加速度（R</w:t>
            </w:r>
            <w:r>
              <w:t>MS</w:t>
            </w:r>
            <w:r>
              <w:rPr>
                <w:rFonts w:hint="eastAsia"/>
              </w:rPr>
              <w:t>），小于</w:t>
            </w:r>
            <w:r>
              <w:rPr>
                <w:color w:val="FF0000"/>
              </w:rPr>
              <w:t>80m/s</w:t>
            </w:r>
            <w:r>
              <w:rPr>
                <w:color w:val="FF0000"/>
                <w:vertAlign w:val="superscript"/>
              </w:rPr>
              <w:t xml:space="preserve"> 2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  <w:vertAlign w:val="superscript"/>
              </w:rPr>
              <w:t xml:space="preserve"> </w:t>
            </w:r>
            <w:r>
              <w:rPr>
                <w:rFonts w:hint="eastAsia"/>
              </w:rPr>
              <w:t>可避免关节、骨骼、血管和软组织受到损 伤。</w:t>
            </w:r>
          </w:p>
          <w:p w:rsidR="007D5A23" w:rsidRDefault="007D5A2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5A23" w:rsidRDefault="007D5A2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5A23" w:rsidRDefault="007D5A2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5A23" w:rsidRDefault="007D5A2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5A23" w:rsidRDefault="007D5A2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5A23" w:rsidRDefault="007D5A2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D5A23" w:rsidRDefault="00453C69" w:rsidP="00453C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7D5A23" w:rsidRDefault="00453C6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7D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60A31166"/>
    <w:multiLevelType w:val="multilevel"/>
    <w:tmpl w:val="60A3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DNhMGQwZWU4YjM1NmRmNjE5N2RmYjllY2JkMTkifQ=="/>
  </w:docVars>
  <w:rsids>
    <w:rsidRoot w:val="007D5A23"/>
    <w:rsid w:val="003533F2"/>
    <w:rsid w:val="00453C69"/>
    <w:rsid w:val="00664386"/>
    <w:rsid w:val="007D5A23"/>
    <w:rsid w:val="495F60F1"/>
    <w:rsid w:val="4FCF4D67"/>
    <w:rsid w:val="557D9B79"/>
    <w:rsid w:val="5F096CA3"/>
    <w:rsid w:val="71170B2E"/>
    <w:rsid w:val="77FE3634"/>
    <w:rsid w:val="CE6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E611"/>
  <w15:docId w15:val="{85CA75E3-2BD6-486C-816C-4F97F948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pPr>
      <w:numPr>
        <w:numId w:val="1"/>
      </w:numPr>
      <w:tabs>
        <w:tab w:val="clear" w:pos="360"/>
      </w:tabs>
      <w:autoSpaceDE w:val="0"/>
      <w:autoSpaceDN w:val="0"/>
      <w:contextualSpacing/>
    </w:pPr>
    <w:rPr>
      <w:rFonts w:ascii="宋体" w:eastAsia="宋体" w:hAnsi="宋体" w:cs="宋体"/>
      <w:sz w:val="22"/>
      <w:lang w:bidi="zh-CN"/>
    </w:r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0"/>
    <w:uiPriority w:val="1"/>
    <w:qFormat/>
    <w:pPr>
      <w:autoSpaceDE w:val="0"/>
      <w:autoSpaceDN w:val="0"/>
      <w:spacing w:before="4"/>
      <w:ind w:left="535" w:hanging="421"/>
    </w:pPr>
    <w:rPr>
      <w:rFonts w:ascii="宋体" w:eastAsia="宋体" w:hAnsi="宋体" w:cs="宋体"/>
      <w:sz w:val="22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2018-09-07T15:41:00Z</dcterms:created>
  <dcterms:modified xsi:type="dcterms:W3CDTF">2023-11-07T04:16:00Z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ED0226A8AA204523AE2F1D061A83F739_13</vt:lpwstr>
  </property>
  <property fmtid="{D5CDD505-2E9C-101B-9397-08002B2CF9AE}" pid="3" name="KSOProductBuildVer">
    <vt:lpwstr>2052-12.1.0.15712</vt:lpwstr>
  </property>
</Properties>
</file>